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47ED" w:rsidRPr="00C34C93" w:rsidRDefault="008C47ED" w:rsidP="008C47ED">
      <w:pPr>
        <w:suppressLineNumbers/>
        <w:spacing w:before="120" w:after="120"/>
        <w:jc w:val="center"/>
        <w:rPr>
          <w:b/>
        </w:rPr>
      </w:pPr>
      <w:bookmarkStart w:id="0" w:name="_GoBack"/>
      <w:bookmarkEnd w:id="0"/>
      <w:r w:rsidRPr="00C34C93">
        <w:rPr>
          <w:b/>
        </w:rPr>
        <w:t>DIRECT TESTIMONY OF</w:t>
      </w:r>
    </w:p>
    <w:p w:rsidR="008C47ED" w:rsidRPr="00C34C93" w:rsidRDefault="008C47ED" w:rsidP="008C47ED">
      <w:pPr>
        <w:suppressLineNumbers/>
        <w:spacing w:before="120" w:after="120"/>
        <w:jc w:val="center"/>
        <w:rPr>
          <w:b/>
        </w:rPr>
      </w:pPr>
      <w:r>
        <w:rPr>
          <w:b/>
        </w:rPr>
        <w:t>LAWRENCE J. VOGT</w:t>
      </w:r>
    </w:p>
    <w:p w:rsidR="008C47ED" w:rsidRPr="00C34C93" w:rsidRDefault="008C47ED" w:rsidP="008C47ED">
      <w:pPr>
        <w:suppressLineNumbers/>
        <w:spacing w:before="120" w:after="120"/>
        <w:jc w:val="center"/>
        <w:rPr>
          <w:b/>
        </w:rPr>
      </w:pPr>
      <w:r w:rsidRPr="00C34C93">
        <w:rPr>
          <w:b/>
        </w:rPr>
        <w:t>ON BEHALF OF</w:t>
      </w:r>
    </w:p>
    <w:p w:rsidR="008C47ED" w:rsidRDefault="008C47ED" w:rsidP="008C47ED">
      <w:pPr>
        <w:suppressLineNumbers/>
        <w:spacing w:before="120" w:after="120"/>
        <w:jc w:val="center"/>
        <w:rPr>
          <w:b/>
        </w:rPr>
      </w:pPr>
      <w:r w:rsidRPr="00C34C93">
        <w:rPr>
          <w:b/>
        </w:rPr>
        <w:t>GEORGIA POWER COMPANY</w:t>
      </w:r>
    </w:p>
    <w:p w:rsidR="008C47ED" w:rsidRPr="00C34C93" w:rsidRDefault="008C47ED" w:rsidP="008C47ED">
      <w:pPr>
        <w:suppressLineNumbers/>
        <w:jc w:val="center"/>
        <w:rPr>
          <w:b/>
        </w:rPr>
      </w:pPr>
    </w:p>
    <w:p w:rsidR="008C47ED" w:rsidRDefault="008C47ED" w:rsidP="008C47ED">
      <w:pPr>
        <w:suppressLineNumbers/>
        <w:jc w:val="center"/>
        <w:rPr>
          <w:b/>
        </w:rPr>
      </w:pPr>
      <w:r w:rsidRPr="00C34C93">
        <w:rPr>
          <w:b/>
        </w:rPr>
        <w:t xml:space="preserve">DOCKET NO. </w:t>
      </w:r>
      <w:r w:rsidRPr="00663ADA">
        <w:rPr>
          <w:b/>
        </w:rPr>
        <w:t>42516</w:t>
      </w:r>
    </w:p>
    <w:p w:rsidR="008C47ED" w:rsidRDefault="008C47ED" w:rsidP="008C47ED">
      <w:pPr>
        <w:suppressLineNumbers/>
        <w:jc w:val="center"/>
        <w:rPr>
          <w:b/>
        </w:rPr>
      </w:pPr>
    </w:p>
    <w:p w:rsidR="008C47ED" w:rsidRPr="00C34C93" w:rsidRDefault="008C47ED" w:rsidP="008C47ED">
      <w:pPr>
        <w:suppressLineNumbers/>
        <w:jc w:val="center"/>
        <w:rPr>
          <w:b/>
        </w:rPr>
      </w:pPr>
    </w:p>
    <w:p w:rsidR="000B72E3" w:rsidRDefault="0028626E" w:rsidP="00E1083D">
      <w:pPr>
        <w:pStyle w:val="Question"/>
        <w:tabs>
          <w:tab w:val="clear" w:pos="360"/>
          <w:tab w:val="clear" w:pos="720"/>
        </w:tabs>
        <w:spacing w:after="240"/>
      </w:pPr>
      <w:r w:rsidRPr="00777C4E">
        <w:rPr>
          <w:caps w:val="0"/>
        </w:rPr>
        <w:t>PLEASE STATE YOUR NAME, BUSINESS ADDRESS, AND OCCUPATION.</w:t>
      </w:r>
    </w:p>
    <w:p w:rsidR="000B72E3" w:rsidRDefault="000B72E3" w:rsidP="001F574D">
      <w:pPr>
        <w:pStyle w:val="Answer"/>
        <w:numPr>
          <w:ilvl w:val="0"/>
          <w:numId w:val="0"/>
        </w:numPr>
        <w:tabs>
          <w:tab w:val="left" w:pos="720"/>
        </w:tabs>
        <w:spacing w:after="240"/>
        <w:ind w:left="744" w:hanging="744"/>
        <w:rPr>
          <w:rFonts w:cs="Times New Roman"/>
        </w:rPr>
      </w:pPr>
      <w:r w:rsidRPr="00777C4E">
        <w:rPr>
          <w:rFonts w:cs="Times New Roman"/>
        </w:rPr>
        <w:t>A.</w:t>
      </w:r>
      <w:r w:rsidRPr="00777C4E">
        <w:rPr>
          <w:rFonts w:cs="Times New Roman"/>
        </w:rPr>
        <w:tab/>
      </w:r>
      <w:r w:rsidR="00DD58C4">
        <w:rPr>
          <w:rFonts w:cs="Times New Roman"/>
        </w:rPr>
        <w:t>Lawrence J. Vogt</w:t>
      </w:r>
      <w:r w:rsidRPr="00777C4E">
        <w:rPr>
          <w:rFonts w:cs="Times New Roman"/>
        </w:rPr>
        <w:t xml:space="preserve">, </w:t>
      </w:r>
      <w:r w:rsidR="00DD58C4">
        <w:rPr>
          <w:rFonts w:cs="Times New Roman"/>
        </w:rPr>
        <w:t>21093 Pineville Road</w:t>
      </w:r>
      <w:r w:rsidRPr="00777C4E">
        <w:rPr>
          <w:rFonts w:cs="Times New Roman"/>
        </w:rPr>
        <w:t xml:space="preserve">, </w:t>
      </w:r>
      <w:r w:rsidR="00DD58C4">
        <w:rPr>
          <w:rFonts w:cs="Times New Roman"/>
        </w:rPr>
        <w:t>Long Beach</w:t>
      </w:r>
      <w:r w:rsidRPr="00777C4E">
        <w:rPr>
          <w:rFonts w:cs="Times New Roman"/>
        </w:rPr>
        <w:t xml:space="preserve">, </w:t>
      </w:r>
      <w:r w:rsidR="00DD58C4">
        <w:rPr>
          <w:rFonts w:cs="Times New Roman"/>
        </w:rPr>
        <w:t>Mississippi</w:t>
      </w:r>
      <w:r w:rsidRPr="00777C4E">
        <w:rPr>
          <w:rFonts w:cs="Times New Roman"/>
        </w:rPr>
        <w:t xml:space="preserve"> </w:t>
      </w:r>
      <w:r w:rsidR="00DD58C4">
        <w:rPr>
          <w:rFonts w:cs="Times New Roman"/>
        </w:rPr>
        <w:t>39560</w:t>
      </w:r>
      <w:r w:rsidRPr="00777C4E">
        <w:rPr>
          <w:rFonts w:cs="Times New Roman"/>
        </w:rPr>
        <w:t xml:space="preserve">.  I am </w:t>
      </w:r>
      <w:r w:rsidR="00DD58C4">
        <w:rPr>
          <w:rFonts w:cs="Times New Roman"/>
        </w:rPr>
        <w:t>the President and Principal Consultant of Vogtage Engineering Corporation</w:t>
      </w:r>
      <w:r w:rsidRPr="00777C4E">
        <w:rPr>
          <w:rFonts w:cs="Times New Roman"/>
        </w:rPr>
        <w:t>.</w:t>
      </w:r>
    </w:p>
    <w:p w:rsidR="000C1C74" w:rsidRDefault="000C1C74" w:rsidP="006A63CC">
      <w:pPr>
        <w:pStyle w:val="PlainText"/>
        <w:tabs>
          <w:tab w:val="left" w:pos="720"/>
        </w:tabs>
        <w:spacing w:after="240" w:line="360" w:lineRule="auto"/>
        <w:ind w:left="720" w:hanging="720"/>
        <w:jc w:val="both"/>
        <w:rPr>
          <w:rFonts w:ascii="Times New Roman" w:hAnsi="Times New Roman"/>
          <w:b/>
        </w:rPr>
      </w:pPr>
      <w:r>
        <w:rPr>
          <w:rFonts w:ascii="Times New Roman" w:hAnsi="Times New Roman"/>
          <w:b/>
        </w:rPr>
        <w:t>Q.</w:t>
      </w:r>
      <w:r>
        <w:rPr>
          <w:rFonts w:ascii="Times New Roman" w:hAnsi="Times New Roman"/>
          <w:b/>
        </w:rPr>
        <w:tab/>
      </w:r>
      <w:r w:rsidR="0028626E">
        <w:rPr>
          <w:rFonts w:ascii="Times New Roman" w:hAnsi="Times New Roman"/>
          <w:b/>
        </w:rPr>
        <w:t>MR. VOGT, PLEASE SUM</w:t>
      </w:r>
      <w:r w:rsidR="00D61FBC">
        <w:rPr>
          <w:rFonts w:ascii="Times New Roman" w:hAnsi="Times New Roman"/>
          <w:b/>
        </w:rPr>
        <w:t>M</w:t>
      </w:r>
      <w:r w:rsidR="0028626E">
        <w:rPr>
          <w:rFonts w:ascii="Times New Roman" w:hAnsi="Times New Roman"/>
          <w:b/>
        </w:rPr>
        <w:t>ARIZE YOUR EDUCATIONAL BACKGROUND AND PROFESSIONAL EXPERIENCE.</w:t>
      </w:r>
    </w:p>
    <w:p w:rsidR="00500CD0" w:rsidRPr="008E3081" w:rsidRDefault="00500CD0" w:rsidP="006A63CC">
      <w:pPr>
        <w:pStyle w:val="Answer"/>
        <w:tabs>
          <w:tab w:val="num" w:pos="720"/>
        </w:tabs>
        <w:ind w:left="720"/>
      </w:pPr>
      <w:r w:rsidRPr="008E3081">
        <w:t>I am a graduate of the University of Louisville with Bachelor of Science and Master of Engineering degrees in Electrical Engineering.  Over the last 4</w:t>
      </w:r>
      <w:r w:rsidR="006566A5" w:rsidRPr="008E3081">
        <w:t>3</w:t>
      </w:r>
      <w:r w:rsidRPr="008E3081">
        <w:t xml:space="preserve"> years, I have held various positions including Distribution Engineer, Senior Industrial Marketing Engineer, and Rate Engineer at Public Service Indiana (now known as Duke Energy – Indiana) in Plainfield, IN; Senior Rate Design Engineer and Principal Engineer – Rates &amp; Regulation at Southern Company Services </w:t>
      </w:r>
      <w:r w:rsidR="00B2177F">
        <w:t xml:space="preserve">(“SCS”) </w:t>
      </w:r>
      <w:r w:rsidRPr="008E3081">
        <w:t>in Atlanta, GA; Manager, Distribution Technologies Center at ABB Power T&amp;D Company in Raleigh, NC; Lead Product Manager at Louisville Gas &amp; Electric Company in Louisville, KY</w:t>
      </w:r>
      <w:r w:rsidR="00BA23A8">
        <w:t>;</w:t>
      </w:r>
      <w:r w:rsidR="00BA23A8" w:rsidRPr="008E3081">
        <w:t xml:space="preserve"> </w:t>
      </w:r>
      <w:r w:rsidR="00BA23A8">
        <w:t>and</w:t>
      </w:r>
      <w:r w:rsidRPr="008E3081">
        <w:t xml:space="preserve"> Manager,</w:t>
      </w:r>
      <w:r w:rsidRPr="006A63CC">
        <w:t xml:space="preserve"> Pricing Planning </w:t>
      </w:r>
      <w:r w:rsidRPr="008E3081">
        <w:t>and Implementation</w:t>
      </w:r>
      <w:r w:rsidR="00E1665B">
        <w:t>,</w:t>
      </w:r>
      <w:r w:rsidRPr="008E3081">
        <w:t xml:space="preserve"> and </w:t>
      </w:r>
      <w:r w:rsidR="00FC2BD0" w:rsidRPr="008E3081">
        <w:t>Director, Rates</w:t>
      </w:r>
      <w:r w:rsidR="00916D18">
        <w:t xml:space="preserve"> </w:t>
      </w:r>
      <w:r w:rsidR="00BA23A8">
        <w:t>at</w:t>
      </w:r>
      <w:r w:rsidR="00916D18">
        <w:t xml:space="preserve"> Mississippi Power </w:t>
      </w:r>
      <w:r w:rsidR="00BA23A8">
        <w:t>Company</w:t>
      </w:r>
      <w:r w:rsidR="006566A5" w:rsidRPr="008E3081">
        <w:t xml:space="preserve">.  </w:t>
      </w:r>
      <w:r w:rsidR="009B0157">
        <w:t xml:space="preserve">I have participated in numerous regulatory filings throughout my career in Mississippi, Indiana, Kentucky, and before </w:t>
      </w:r>
      <w:r w:rsidR="009B0157" w:rsidRPr="00777C4E">
        <w:t>the Federal Energy Regulatory Commission (</w:t>
      </w:r>
      <w:r w:rsidR="009B0157">
        <w:t>“</w:t>
      </w:r>
      <w:r w:rsidR="009B0157" w:rsidRPr="00777C4E">
        <w:t>FERC</w:t>
      </w:r>
      <w:r w:rsidR="009B0157">
        <w:t>”</w:t>
      </w:r>
      <w:r w:rsidR="009B0157" w:rsidRPr="00777C4E">
        <w:t>)</w:t>
      </w:r>
      <w:r w:rsidR="009B0157">
        <w:t xml:space="preserve">. This includes providing sponsored testimony and appearances as an expert witness in Commission hearings. </w:t>
      </w:r>
      <w:r w:rsidR="006566A5" w:rsidRPr="008E3081">
        <w:t>In 2010, I established Vogtage Engineering Corporation.</w:t>
      </w:r>
      <w:r w:rsidR="00B447B6">
        <w:t xml:space="preserve"> Additional details are found in my curriculum vitae attached as Appendix 1.</w:t>
      </w:r>
    </w:p>
    <w:p w:rsidR="00444293" w:rsidRPr="00FF2DB8" w:rsidRDefault="00500CD0" w:rsidP="00AB7637">
      <w:pPr>
        <w:pStyle w:val="Answer"/>
        <w:numPr>
          <w:ilvl w:val="0"/>
          <w:numId w:val="0"/>
        </w:numPr>
        <w:spacing w:after="240"/>
        <w:ind w:left="720"/>
      </w:pPr>
      <w:r w:rsidRPr="008E3081">
        <w:lastRenderedPageBreak/>
        <w:t xml:space="preserve">I have been active in a variety of industry functions throughout my career.  I have conducted numerous industry lectures and workshops under the sponsorships of EUCI, the Electric League of Indiana, Inc., and the University of South Alabama.  I have served as an Adjunct Professor in Pennsylvania State University’s International Power Engineering Program.  I </w:t>
      </w:r>
      <w:r w:rsidR="00AE40B0" w:rsidRPr="008E3081">
        <w:t xml:space="preserve">served as a </w:t>
      </w:r>
      <w:r w:rsidRPr="008E3081">
        <w:t xml:space="preserve">representative on the Rate &amp; Regulatory Affairs Committee of the Edison Electric Institute, where I also served as Committee Chairman (2012 – 2014).  I have also served as a Principal Instructor in the Committee-sponsored E-Forum Rate College and Electric Rate Advanced Course.  I also </w:t>
      </w:r>
      <w:r w:rsidR="00AE40B0" w:rsidRPr="008E3081">
        <w:t>served as a</w:t>
      </w:r>
      <w:r w:rsidRPr="008E3081">
        <w:t xml:space="preserve"> representative on the Rates &amp; Regulation Section of the Southeastern Electric Exchange.  I am a Senior </w:t>
      </w:r>
      <w:r w:rsidR="00BA23A8">
        <w:t xml:space="preserve">Life </w:t>
      </w:r>
      <w:r w:rsidRPr="008E3081">
        <w:t>Member of the Institute of Electrical and Electronics Engineers, and I am a Member of the Association of Energy Engineers</w:t>
      </w:r>
      <w:r w:rsidR="00AE40B0" w:rsidRPr="008E3081">
        <w:t>.</w:t>
      </w:r>
      <w:r w:rsidRPr="008E3081">
        <w:t xml:space="preserve">  I am a registered Professional Engineer in several states, including </w:t>
      </w:r>
      <w:r w:rsidR="00AE40B0" w:rsidRPr="008E3081">
        <w:t>Georgia</w:t>
      </w:r>
      <w:r w:rsidRPr="008E3081">
        <w:t xml:space="preserve">.  In addition, I am the coauthor of several technical papers and reports as well as the textbook </w:t>
      </w:r>
      <w:r w:rsidRPr="006A63CC">
        <w:t>Electrical Energy Management</w:t>
      </w:r>
      <w:r w:rsidRPr="008E3081">
        <w:t xml:space="preserve"> (Lexington Books, 1977).  I am also the author of the textbook </w:t>
      </w:r>
      <w:r w:rsidRPr="006A63CC">
        <w:t>Electricity Pricing:  Engineering Principles and Methodologies</w:t>
      </w:r>
      <w:r w:rsidRPr="008E3081">
        <w:t xml:space="preserve"> (CRC Press, 2009)</w:t>
      </w:r>
      <w:r w:rsidR="00444293">
        <w:t xml:space="preserve"> and of the</w:t>
      </w:r>
      <w:r w:rsidR="00AE40B0">
        <w:t xml:space="preserve"> </w:t>
      </w:r>
      <w:r w:rsidR="00444293" w:rsidRPr="009141AF">
        <w:t>“E</w:t>
      </w:r>
      <w:r w:rsidR="00444293" w:rsidRPr="00333A83">
        <w:t>ngineering Princip</w:t>
      </w:r>
      <w:r w:rsidR="00444293" w:rsidRPr="00FF2DB8">
        <w:t xml:space="preserve">les of Electricity Pricing,” Chapter 21 in </w:t>
      </w:r>
      <w:r w:rsidR="00444293" w:rsidRPr="006A63CC">
        <w:t>Power Systems</w:t>
      </w:r>
      <w:r w:rsidR="00444293" w:rsidRPr="009141AF">
        <w:t>, 3</w:t>
      </w:r>
      <w:r w:rsidR="00444293" w:rsidRPr="006A63CC">
        <w:t>rd</w:t>
      </w:r>
      <w:r w:rsidR="00444293" w:rsidRPr="009141AF">
        <w:t xml:space="preserve"> ed. of </w:t>
      </w:r>
      <w:r w:rsidR="00444293" w:rsidRPr="006A63CC">
        <w:t>The Electric Power Engineering Handbook</w:t>
      </w:r>
      <w:r w:rsidR="00444293" w:rsidRPr="009141AF">
        <w:t>, CRC Press, 2012.</w:t>
      </w:r>
      <w:r w:rsidR="009B0157">
        <w:t xml:space="preserve"> </w:t>
      </w:r>
    </w:p>
    <w:p w:rsidR="00992AEC" w:rsidRDefault="00992AEC" w:rsidP="009141AF">
      <w:pPr>
        <w:pStyle w:val="Question"/>
        <w:numPr>
          <w:ilvl w:val="0"/>
          <w:numId w:val="0"/>
        </w:numPr>
        <w:tabs>
          <w:tab w:val="left" w:pos="720"/>
        </w:tabs>
        <w:spacing w:after="240"/>
        <w:ind w:left="744" w:hanging="744"/>
        <w:rPr>
          <w:rFonts w:ascii="Times New Roman" w:hAnsi="Times New Roman" w:cs="Times New Roman"/>
        </w:rPr>
      </w:pPr>
      <w:r w:rsidRPr="00777C4E">
        <w:rPr>
          <w:rFonts w:ascii="Times New Roman" w:hAnsi="Times New Roman" w:cs="Times New Roman"/>
        </w:rPr>
        <w:t>Q.</w:t>
      </w:r>
      <w:r w:rsidRPr="00777C4E">
        <w:rPr>
          <w:rFonts w:ascii="Times New Roman" w:hAnsi="Times New Roman" w:cs="Times New Roman"/>
        </w:rPr>
        <w:tab/>
      </w:r>
      <w:r w:rsidR="0028626E" w:rsidRPr="00777C4E">
        <w:rPr>
          <w:rFonts w:ascii="Times New Roman" w:hAnsi="Times New Roman" w:cs="Times New Roman"/>
          <w:caps w:val="0"/>
        </w:rPr>
        <w:t>WHAT IS THE PURPOSE OF YOUR TESTIMONY IN THIS PROCEEDING?</w:t>
      </w:r>
    </w:p>
    <w:p w:rsidR="00992AEC" w:rsidRDefault="00992AEC" w:rsidP="00FD3F87">
      <w:pPr>
        <w:pStyle w:val="Answer"/>
        <w:tabs>
          <w:tab w:val="num" w:pos="720"/>
        </w:tabs>
        <w:spacing w:after="240"/>
        <w:ind w:left="720"/>
      </w:pPr>
      <w:r>
        <w:t xml:space="preserve">The purpose of my testimony is to present and explain the cost-of-service studies filed by Georgia Power </w:t>
      </w:r>
      <w:r w:rsidR="0028626E">
        <w:t>Company (</w:t>
      </w:r>
      <w:r w:rsidR="00AE0765">
        <w:t>“</w:t>
      </w:r>
      <w:r w:rsidR="0028626E">
        <w:t>Company</w:t>
      </w:r>
      <w:r w:rsidR="00AE0765">
        <w:t>”</w:t>
      </w:r>
      <w:r w:rsidR="0028626E">
        <w:t xml:space="preserve">) </w:t>
      </w:r>
      <w:r>
        <w:t>in this proceeding, and which are contained in Exhibit</w:t>
      </w:r>
      <w:r w:rsidR="00D767E2">
        <w:t>___</w:t>
      </w:r>
      <w:r>
        <w:t>(</w:t>
      </w:r>
      <w:r w:rsidR="0028626E">
        <w:t>LJV</w:t>
      </w:r>
      <w:r>
        <w:t>-1) through Exhibit</w:t>
      </w:r>
      <w:r w:rsidR="00D767E2">
        <w:t>___</w:t>
      </w:r>
      <w:r>
        <w:t>(</w:t>
      </w:r>
      <w:r w:rsidR="0028626E">
        <w:t>LJV</w:t>
      </w:r>
      <w:r>
        <w:t>-</w:t>
      </w:r>
      <w:r w:rsidR="00A0692D">
        <w:t>9</w:t>
      </w:r>
      <w:r>
        <w:t xml:space="preserve">). </w:t>
      </w:r>
    </w:p>
    <w:p w:rsidR="00992AEC" w:rsidRDefault="00992AEC" w:rsidP="009141AF">
      <w:pPr>
        <w:pStyle w:val="Question"/>
        <w:numPr>
          <w:ilvl w:val="0"/>
          <w:numId w:val="0"/>
        </w:numPr>
        <w:tabs>
          <w:tab w:val="left" w:pos="720"/>
        </w:tabs>
        <w:spacing w:after="240"/>
        <w:ind w:left="744" w:hanging="744"/>
        <w:rPr>
          <w:rFonts w:ascii="Times New Roman" w:hAnsi="Times New Roman" w:cs="Times New Roman"/>
        </w:rPr>
      </w:pPr>
      <w:r w:rsidRPr="00777C4E">
        <w:rPr>
          <w:rFonts w:ascii="Times New Roman" w:hAnsi="Times New Roman" w:cs="Times New Roman"/>
        </w:rPr>
        <w:t>Q.</w:t>
      </w:r>
      <w:r w:rsidRPr="00777C4E">
        <w:rPr>
          <w:rFonts w:ascii="Times New Roman" w:hAnsi="Times New Roman" w:cs="Times New Roman"/>
        </w:rPr>
        <w:tab/>
        <w:t>Please describe the contents of your exhibit</w:t>
      </w:r>
      <w:r>
        <w:rPr>
          <w:rFonts w:ascii="Times New Roman" w:hAnsi="Times New Roman" w:cs="Times New Roman"/>
        </w:rPr>
        <w:t>S</w:t>
      </w:r>
      <w:r w:rsidRPr="00777C4E">
        <w:rPr>
          <w:rFonts w:ascii="Times New Roman" w:hAnsi="Times New Roman" w:cs="Times New Roman"/>
        </w:rPr>
        <w:t>.</w:t>
      </w:r>
    </w:p>
    <w:p w:rsidR="00992AEC" w:rsidRDefault="00992AEC" w:rsidP="00FD3F87">
      <w:pPr>
        <w:pStyle w:val="Answer"/>
        <w:tabs>
          <w:tab w:val="num" w:pos="720"/>
        </w:tabs>
        <w:ind w:left="720"/>
      </w:pPr>
      <w:r>
        <w:t xml:space="preserve">The first two exhibits, </w:t>
      </w:r>
      <w:r w:rsidR="00CB616C">
        <w:t>Exhibit</w:t>
      </w:r>
      <w:r w:rsidR="00D767E2">
        <w:t>___</w:t>
      </w:r>
      <w:r w:rsidR="00CB616C">
        <w:t>(</w:t>
      </w:r>
      <w:r w:rsidR="0028626E">
        <w:t>LJV</w:t>
      </w:r>
      <w:r>
        <w:t>-1</w:t>
      </w:r>
      <w:r w:rsidR="00CB616C">
        <w:t>)</w:t>
      </w:r>
      <w:r>
        <w:t xml:space="preserve"> and </w:t>
      </w:r>
      <w:r w:rsidR="00CB616C">
        <w:t>Exhibit</w:t>
      </w:r>
      <w:r w:rsidR="00D767E2">
        <w:t>___</w:t>
      </w:r>
      <w:r w:rsidR="00CB616C">
        <w:t>(</w:t>
      </w:r>
      <w:r w:rsidR="0028626E">
        <w:t>LJV</w:t>
      </w:r>
      <w:r>
        <w:t>-2</w:t>
      </w:r>
      <w:r w:rsidR="00CB616C">
        <w:t>)</w:t>
      </w:r>
      <w:r w:rsidR="00EC0500">
        <w:t>,</w:t>
      </w:r>
      <w:r>
        <w:t xml:space="preserve"> are projected Period II cost-of-service studies for the </w:t>
      </w:r>
      <w:r w:rsidR="00EC0500">
        <w:t xml:space="preserve">12-month </w:t>
      </w:r>
      <w:r>
        <w:t xml:space="preserve">period ending </w:t>
      </w:r>
      <w:r w:rsidRPr="006A63CC">
        <w:t>July 31, 20</w:t>
      </w:r>
      <w:r w:rsidR="004B0D92" w:rsidRPr="006A63CC">
        <w:t>20</w:t>
      </w:r>
      <w:r w:rsidRPr="004B0D92">
        <w:t xml:space="preserve"> </w:t>
      </w:r>
      <w:r w:rsidR="00EC0500">
        <w:t>based on</w:t>
      </w:r>
      <w:r w:rsidRPr="004B0D92">
        <w:t xml:space="preserve"> the Company’s recommended allocation methodologies</w:t>
      </w:r>
      <w:r w:rsidR="00EC0500">
        <w:t xml:space="preserve">. </w:t>
      </w:r>
      <w:r w:rsidR="00EC0500" w:rsidRPr="004B0D92">
        <w:t xml:space="preserve"> </w:t>
      </w:r>
      <w:r w:rsidR="00EC0500">
        <w:t xml:space="preserve">In </w:t>
      </w:r>
      <w:r w:rsidRPr="004B0D92">
        <w:t xml:space="preserve">one </w:t>
      </w:r>
      <w:r w:rsidR="00EC0500">
        <w:t xml:space="preserve">Period II </w:t>
      </w:r>
      <w:r w:rsidRPr="004B0D92">
        <w:t>study</w:t>
      </w:r>
      <w:r w:rsidR="00EC0500">
        <w:t>,</w:t>
      </w:r>
      <w:r w:rsidRPr="004B0D92">
        <w:t xml:space="preserve"> </w:t>
      </w:r>
      <w:r w:rsidR="00F85FD7">
        <w:t>Exhibit</w:t>
      </w:r>
      <w:r w:rsidR="00D767E2">
        <w:t>___</w:t>
      </w:r>
      <w:r w:rsidR="00F85FD7">
        <w:t>(</w:t>
      </w:r>
      <w:r w:rsidR="00033F6F">
        <w:t>LJV-1</w:t>
      </w:r>
      <w:r w:rsidR="00F85FD7">
        <w:t>)</w:t>
      </w:r>
      <w:r w:rsidR="00033F6F">
        <w:t xml:space="preserve">, </w:t>
      </w:r>
      <w:r w:rsidRPr="004B0D92">
        <w:t>the customer categories are rate groupings</w:t>
      </w:r>
      <w:r w:rsidR="00EC0500">
        <w:t>,</w:t>
      </w:r>
      <w:r w:rsidRPr="004B0D92">
        <w:t xml:space="preserve"> and </w:t>
      </w:r>
      <w:r w:rsidR="00EC0500">
        <w:t xml:space="preserve">in </w:t>
      </w:r>
      <w:r w:rsidRPr="004B0D92">
        <w:t xml:space="preserve">the </w:t>
      </w:r>
      <w:r w:rsidR="00EC0500">
        <w:t>other</w:t>
      </w:r>
      <w:r w:rsidR="00EC0500" w:rsidRPr="004B0D92">
        <w:t xml:space="preserve"> </w:t>
      </w:r>
      <w:r w:rsidR="00EC0500">
        <w:t xml:space="preserve">Period II </w:t>
      </w:r>
      <w:r w:rsidRPr="004B0D92">
        <w:t>study</w:t>
      </w:r>
      <w:r w:rsidR="00EC0500">
        <w:t xml:space="preserve">, </w:t>
      </w:r>
      <w:r w:rsidR="00F85FD7">
        <w:t>Exhibit</w:t>
      </w:r>
      <w:r w:rsidR="00D767E2">
        <w:t>___</w:t>
      </w:r>
      <w:r w:rsidR="00F85FD7">
        <w:t>(</w:t>
      </w:r>
      <w:r w:rsidR="00033F6F">
        <w:t>LJV-2</w:t>
      </w:r>
      <w:r w:rsidR="00F85FD7">
        <w:t>)</w:t>
      </w:r>
      <w:r w:rsidR="00033F6F">
        <w:t xml:space="preserve">, </w:t>
      </w:r>
      <w:r w:rsidR="00EC0500">
        <w:t>the</w:t>
      </w:r>
      <w:r w:rsidRPr="004B0D92">
        <w:t xml:space="preserve"> </w:t>
      </w:r>
      <w:r w:rsidR="00EC0500">
        <w:t>customer categories are</w:t>
      </w:r>
      <w:r w:rsidR="00EC0500" w:rsidRPr="004B0D92">
        <w:t xml:space="preserve"> </w:t>
      </w:r>
      <w:r w:rsidRPr="004B0D92">
        <w:t>individual rates</w:t>
      </w:r>
      <w:r w:rsidRPr="00F97334">
        <w:t xml:space="preserve">. </w:t>
      </w:r>
      <w:r w:rsidR="00026D34" w:rsidRPr="00F97334">
        <w:t xml:space="preserve"> </w:t>
      </w:r>
      <w:r w:rsidRPr="00F97334">
        <w:t xml:space="preserve">The next two </w:t>
      </w:r>
      <w:r w:rsidRPr="00F97334">
        <w:lastRenderedPageBreak/>
        <w:t xml:space="preserve">exhibits, </w:t>
      </w:r>
      <w:r w:rsidR="00F85FD7">
        <w:t>Exhibit</w:t>
      </w:r>
      <w:r w:rsidR="00D767E2">
        <w:t>___</w:t>
      </w:r>
      <w:r w:rsidR="00F85FD7">
        <w:t>(</w:t>
      </w:r>
      <w:r w:rsidR="0028626E" w:rsidRPr="00731250">
        <w:t>LJV</w:t>
      </w:r>
      <w:r w:rsidRPr="00731250">
        <w:t>-3</w:t>
      </w:r>
      <w:r w:rsidR="00F85FD7">
        <w:t>)</w:t>
      </w:r>
      <w:r w:rsidRPr="00731250">
        <w:t xml:space="preserve"> and </w:t>
      </w:r>
      <w:r w:rsidR="00F85FD7">
        <w:t>Exhibit</w:t>
      </w:r>
      <w:r w:rsidR="007D3403">
        <w:t>___</w:t>
      </w:r>
      <w:r w:rsidR="00F85FD7">
        <w:t>(</w:t>
      </w:r>
      <w:r w:rsidR="0028626E" w:rsidRPr="00731250">
        <w:t>LJV</w:t>
      </w:r>
      <w:r w:rsidRPr="00731250">
        <w:t>-4</w:t>
      </w:r>
      <w:r w:rsidR="00F85FD7">
        <w:t>)</w:t>
      </w:r>
      <w:r w:rsidRPr="00731250">
        <w:t xml:space="preserve">, are historical Period I cost-of-service studies, for the </w:t>
      </w:r>
      <w:r w:rsidR="00EC0500">
        <w:t xml:space="preserve">12-month </w:t>
      </w:r>
      <w:r w:rsidRPr="00731250">
        <w:t xml:space="preserve">period </w:t>
      </w:r>
      <w:r w:rsidR="00EC0500" w:rsidRPr="00731250">
        <w:t>end</w:t>
      </w:r>
      <w:r w:rsidR="00EC0500">
        <w:t>ing</w:t>
      </w:r>
      <w:r w:rsidR="00EC0500" w:rsidRPr="00731250">
        <w:t xml:space="preserve"> </w:t>
      </w:r>
      <w:r w:rsidRPr="006A63CC">
        <w:t>December 31, 20</w:t>
      </w:r>
      <w:r w:rsidR="004B0D92" w:rsidRPr="006A63CC">
        <w:t>18</w:t>
      </w:r>
      <w:r w:rsidRPr="004B0D92">
        <w:t xml:space="preserve"> </w:t>
      </w:r>
      <w:r w:rsidR="00EC0500">
        <w:t>based on</w:t>
      </w:r>
      <w:r w:rsidRPr="00F97334">
        <w:t xml:space="preserve"> the Company’s recommended allocation methodologies</w:t>
      </w:r>
      <w:r w:rsidR="00584F94">
        <w:t xml:space="preserve">. </w:t>
      </w:r>
      <w:r w:rsidR="00EC0500" w:rsidRPr="00EC0500">
        <w:t xml:space="preserve"> </w:t>
      </w:r>
      <w:r w:rsidR="00EC0500">
        <w:t xml:space="preserve">In </w:t>
      </w:r>
      <w:r w:rsidR="00EC0500" w:rsidRPr="004B0D92">
        <w:t xml:space="preserve">one </w:t>
      </w:r>
      <w:r w:rsidR="00EC0500">
        <w:t xml:space="preserve">Period I </w:t>
      </w:r>
      <w:r w:rsidR="00EC0500" w:rsidRPr="004B0D92">
        <w:t>study</w:t>
      </w:r>
      <w:r w:rsidR="00EC0500">
        <w:t>,</w:t>
      </w:r>
      <w:r w:rsidR="00EC0500" w:rsidRPr="004B0D92">
        <w:t xml:space="preserve"> </w:t>
      </w:r>
      <w:r w:rsidR="00F85FD7">
        <w:t>Exhibit</w:t>
      </w:r>
      <w:r w:rsidR="007D3403">
        <w:t>___</w:t>
      </w:r>
      <w:r w:rsidR="00F85FD7">
        <w:t>(</w:t>
      </w:r>
      <w:r w:rsidR="00033F6F">
        <w:t>LJV-3</w:t>
      </w:r>
      <w:r w:rsidR="00F85FD7">
        <w:t>)</w:t>
      </w:r>
      <w:r w:rsidR="00033F6F">
        <w:t xml:space="preserve">, </w:t>
      </w:r>
      <w:r w:rsidR="00EC0500" w:rsidRPr="004B0D92">
        <w:t>the customer categories are rate groupings</w:t>
      </w:r>
      <w:r w:rsidR="00EC0500">
        <w:t>,</w:t>
      </w:r>
      <w:r w:rsidR="00EC0500" w:rsidRPr="004B0D92">
        <w:t xml:space="preserve"> and </w:t>
      </w:r>
      <w:r w:rsidR="00EC0500">
        <w:t xml:space="preserve">in </w:t>
      </w:r>
      <w:r w:rsidR="00EC0500" w:rsidRPr="004B0D92">
        <w:t xml:space="preserve">the </w:t>
      </w:r>
      <w:r w:rsidR="00EC0500">
        <w:t>other</w:t>
      </w:r>
      <w:r w:rsidR="00EC0500" w:rsidRPr="004B0D92">
        <w:t xml:space="preserve"> </w:t>
      </w:r>
      <w:r w:rsidR="00EC0500">
        <w:t xml:space="preserve">Period I </w:t>
      </w:r>
      <w:r w:rsidR="00EC0500" w:rsidRPr="004B0D92">
        <w:t>study</w:t>
      </w:r>
      <w:r w:rsidR="00EC0500">
        <w:t xml:space="preserve">, </w:t>
      </w:r>
      <w:r w:rsidR="00F85FD7">
        <w:t>Exhibit</w:t>
      </w:r>
      <w:r w:rsidR="007D3403">
        <w:t>___</w:t>
      </w:r>
      <w:r w:rsidR="00F85FD7">
        <w:t>(</w:t>
      </w:r>
      <w:r w:rsidR="00033F6F">
        <w:t>LJV-4</w:t>
      </w:r>
      <w:r w:rsidR="00F85FD7">
        <w:t>)</w:t>
      </w:r>
      <w:r w:rsidR="00033F6F">
        <w:t xml:space="preserve">, </w:t>
      </w:r>
      <w:r w:rsidR="00EC0500">
        <w:t>the</w:t>
      </w:r>
      <w:r w:rsidR="00EC0500" w:rsidRPr="004B0D92">
        <w:t xml:space="preserve"> </w:t>
      </w:r>
      <w:r w:rsidR="00EC0500">
        <w:t>customer categories are</w:t>
      </w:r>
      <w:r w:rsidR="00EC0500" w:rsidRPr="004B0D92">
        <w:t xml:space="preserve"> individual rates</w:t>
      </w:r>
      <w:r w:rsidR="00EC0500" w:rsidRPr="00F97334">
        <w:t>.</w:t>
      </w:r>
      <w:r w:rsidRPr="00F506DE">
        <w:t xml:space="preserve">  The next tw</w:t>
      </w:r>
      <w:r w:rsidRPr="00881E05">
        <w:t xml:space="preserve">o exhibits, </w:t>
      </w:r>
      <w:r w:rsidR="00F85FD7">
        <w:t>Exhibit</w:t>
      </w:r>
      <w:r w:rsidR="007D3403">
        <w:t>___</w:t>
      </w:r>
      <w:r w:rsidR="00F85FD7">
        <w:t>(</w:t>
      </w:r>
      <w:r w:rsidR="00026D34" w:rsidRPr="00881E05">
        <w:t>LJV</w:t>
      </w:r>
      <w:r w:rsidRPr="00881E05">
        <w:t>-5</w:t>
      </w:r>
      <w:r w:rsidR="00F85FD7">
        <w:t>)</w:t>
      </w:r>
      <w:r w:rsidRPr="00881E05">
        <w:t xml:space="preserve"> and </w:t>
      </w:r>
      <w:r w:rsidR="00F85FD7">
        <w:t>Exhibit</w:t>
      </w:r>
      <w:r w:rsidR="007D3403">
        <w:t>___</w:t>
      </w:r>
      <w:r w:rsidR="00F85FD7">
        <w:t>(</w:t>
      </w:r>
      <w:r w:rsidR="00026D34" w:rsidRPr="00881E05">
        <w:t>LJV</w:t>
      </w:r>
      <w:r w:rsidRPr="00881E05">
        <w:t>-6</w:t>
      </w:r>
      <w:r w:rsidR="00F85FD7">
        <w:t>)</w:t>
      </w:r>
      <w:r w:rsidRPr="00881E05">
        <w:t xml:space="preserve">, are Period II cost-of-service studies for the period ending </w:t>
      </w:r>
      <w:r w:rsidRPr="006A63CC">
        <w:t>July 31, 20</w:t>
      </w:r>
      <w:r w:rsidR="004B0D92" w:rsidRPr="006A63CC">
        <w:t>20</w:t>
      </w:r>
      <w:r w:rsidRPr="004B0D92">
        <w:t>, but these two studies use a</w:t>
      </w:r>
      <w:r w:rsidR="00026D34" w:rsidRPr="004B0D92">
        <w:t>n alt</w:t>
      </w:r>
      <w:r w:rsidR="00026D34" w:rsidRPr="00F97334">
        <w:t>ernative</w:t>
      </w:r>
      <w:r w:rsidRPr="00F97334">
        <w:t xml:space="preserve"> 4-</w:t>
      </w:r>
      <w:r w:rsidRPr="00731250">
        <w:t xml:space="preserve">CP Production function allocation advocated by some customer groups in previous cases with this Commission.  The </w:t>
      </w:r>
      <w:r w:rsidR="00584F94">
        <w:t>next</w:t>
      </w:r>
      <w:r w:rsidR="00584F94" w:rsidRPr="00731250">
        <w:t xml:space="preserve"> </w:t>
      </w:r>
      <w:r w:rsidRPr="00731250">
        <w:t xml:space="preserve">two exhibits, </w:t>
      </w:r>
      <w:r w:rsidR="00F85FD7">
        <w:t>Exhibit</w:t>
      </w:r>
      <w:r w:rsidR="007D3403">
        <w:t>___</w:t>
      </w:r>
      <w:r w:rsidR="00F85FD7">
        <w:t>(</w:t>
      </w:r>
      <w:r w:rsidR="00026D34" w:rsidRPr="00F506DE">
        <w:t>LJV</w:t>
      </w:r>
      <w:r w:rsidRPr="00881E05">
        <w:t>-7</w:t>
      </w:r>
      <w:r w:rsidR="00F85FD7">
        <w:t>)</w:t>
      </w:r>
      <w:r w:rsidRPr="00881E05">
        <w:t xml:space="preserve"> and </w:t>
      </w:r>
      <w:r w:rsidR="00F85FD7">
        <w:t>Exhibit</w:t>
      </w:r>
      <w:r w:rsidR="007D3403">
        <w:t>___</w:t>
      </w:r>
      <w:r w:rsidR="00F85FD7">
        <w:t>(</w:t>
      </w:r>
      <w:r w:rsidR="00026D34" w:rsidRPr="00881E05">
        <w:t>LJV</w:t>
      </w:r>
      <w:r w:rsidRPr="00881E05">
        <w:t>-8</w:t>
      </w:r>
      <w:r w:rsidR="00F85FD7">
        <w:t>)</w:t>
      </w:r>
      <w:r w:rsidRPr="00881E05">
        <w:t xml:space="preserve">, are Period I cost-of-service studies for the period </w:t>
      </w:r>
      <w:r w:rsidR="00EC0500" w:rsidRPr="00881E05">
        <w:t>end</w:t>
      </w:r>
      <w:r w:rsidR="00EC0500">
        <w:t>ing</w:t>
      </w:r>
      <w:r w:rsidR="00EC0500" w:rsidRPr="00881E05">
        <w:t xml:space="preserve"> </w:t>
      </w:r>
      <w:r w:rsidRPr="00394180">
        <w:t>December 31, 20</w:t>
      </w:r>
      <w:r w:rsidR="004B0D92" w:rsidRPr="00394180">
        <w:t>18</w:t>
      </w:r>
      <w:r w:rsidRPr="004B0D92">
        <w:t xml:space="preserve">, but </w:t>
      </w:r>
      <w:r w:rsidR="00026D34" w:rsidRPr="004B0D92">
        <w:t>these two studies use an al</w:t>
      </w:r>
      <w:r w:rsidR="00026D34" w:rsidRPr="00F97334">
        <w:t>ternative</w:t>
      </w:r>
      <w:r w:rsidR="00026D34" w:rsidRPr="00731250">
        <w:t xml:space="preserve"> 4-CP</w:t>
      </w:r>
      <w:r w:rsidRPr="00731250">
        <w:t xml:space="preserve"> Production function allocation as advocated by some customer</w:t>
      </w:r>
      <w:r>
        <w:t xml:space="preserve"> groups in previous cases.  We have filed these 4-CP </w:t>
      </w:r>
      <w:r w:rsidR="00026D34">
        <w:t xml:space="preserve">study </w:t>
      </w:r>
      <w:r>
        <w:t>results simply for informational purposes</w:t>
      </w:r>
      <w:bookmarkStart w:id="1" w:name="_Hlk11394417"/>
      <w:r>
        <w:t>.  Each</w:t>
      </w:r>
      <w:r w:rsidRPr="00777C4E">
        <w:t xml:space="preserve"> </w:t>
      </w:r>
      <w:r>
        <w:t>of the</w:t>
      </w:r>
      <w:r w:rsidR="00EC0500">
        <w:t>se</w:t>
      </w:r>
      <w:r>
        <w:t xml:space="preserve"> eight exhibits </w:t>
      </w:r>
      <w:r w:rsidRPr="00394180">
        <w:t>contain 13</w:t>
      </w:r>
      <w:r w:rsidRPr="00777C4E">
        <w:t xml:space="preserve"> schedules</w:t>
      </w:r>
      <w:r w:rsidR="00EC0500">
        <w:t>,</w:t>
      </w:r>
      <w:r w:rsidRPr="00777C4E">
        <w:t xml:space="preserve"> </w:t>
      </w:r>
      <w:bookmarkEnd w:id="1"/>
      <w:r>
        <w:t xml:space="preserve">which set out </w:t>
      </w:r>
      <w:r w:rsidRPr="00777C4E">
        <w:t xml:space="preserve">the results of the cost-of-service study </w:t>
      </w:r>
      <w:r>
        <w:t>along with the supporting analyses</w:t>
      </w:r>
      <w:r w:rsidRPr="00777C4E">
        <w:t>.</w:t>
      </w:r>
    </w:p>
    <w:p w:rsidR="00AB7637" w:rsidRDefault="00AB7637" w:rsidP="00AB7637">
      <w:pPr>
        <w:pStyle w:val="Answer"/>
        <w:numPr>
          <w:ilvl w:val="0"/>
          <w:numId w:val="0"/>
        </w:numPr>
        <w:ind w:left="720"/>
      </w:pPr>
      <w:bookmarkStart w:id="2" w:name="_Hlk11222530"/>
    </w:p>
    <w:p w:rsidR="00A0692D" w:rsidRDefault="00992AEC" w:rsidP="00AB7637">
      <w:pPr>
        <w:pStyle w:val="Answer"/>
        <w:numPr>
          <w:ilvl w:val="0"/>
          <w:numId w:val="0"/>
        </w:numPr>
        <w:ind w:left="720"/>
      </w:pPr>
      <w:r>
        <w:t xml:space="preserve">I have included only the summary pages of each of </w:t>
      </w:r>
      <w:r w:rsidR="004B0D92">
        <w:t xml:space="preserve">these first </w:t>
      </w:r>
      <w:r>
        <w:t>eight exhibits in hard copy</w:t>
      </w:r>
      <w:r w:rsidR="00030D6D">
        <w:t xml:space="preserve"> due to the voluminous size of the exhibits</w:t>
      </w:r>
      <w:r>
        <w:t>.  The exhibits may be found in their entire</w:t>
      </w:r>
      <w:r w:rsidR="00026D34">
        <w:t>t</w:t>
      </w:r>
      <w:r>
        <w:t xml:space="preserve">y in electronic pdf format on the disk attached to this filing.  Those files are </w:t>
      </w:r>
      <w:r w:rsidR="00091570" w:rsidRPr="009141AF">
        <w:t>designated as</w:t>
      </w:r>
      <w:r w:rsidRPr="00EE25CB">
        <w:t xml:space="preserve"> </w:t>
      </w:r>
      <w:r w:rsidR="00F85FD7">
        <w:t>Exhibit</w:t>
      </w:r>
      <w:r w:rsidR="007D3403">
        <w:t>___</w:t>
      </w:r>
      <w:r w:rsidR="00F85FD7">
        <w:t>(</w:t>
      </w:r>
      <w:r w:rsidR="00026D34" w:rsidRPr="00EE25CB">
        <w:t>LJV</w:t>
      </w:r>
      <w:r w:rsidRPr="00EE25CB">
        <w:t>-1</w:t>
      </w:r>
      <w:r w:rsidR="00F85FD7">
        <w:t>)</w:t>
      </w:r>
      <w:r w:rsidRPr="00EE25CB">
        <w:t xml:space="preserve">.pdf through </w:t>
      </w:r>
      <w:r w:rsidR="00F85FD7">
        <w:t>Exhibit</w:t>
      </w:r>
      <w:r w:rsidR="007D3403">
        <w:t>___</w:t>
      </w:r>
      <w:r w:rsidR="00F85FD7">
        <w:t>(</w:t>
      </w:r>
      <w:r w:rsidR="00026D34" w:rsidRPr="00EE25CB">
        <w:t>LJV</w:t>
      </w:r>
      <w:r w:rsidRPr="00EE25CB">
        <w:t>-8</w:t>
      </w:r>
      <w:r w:rsidR="00F85FD7">
        <w:t>)</w:t>
      </w:r>
      <w:r w:rsidRPr="00EE25CB">
        <w:t>.pdf.</w:t>
      </w:r>
    </w:p>
    <w:p w:rsidR="00F85FD7" w:rsidRPr="00EE25CB" w:rsidRDefault="00F85FD7" w:rsidP="00AB7637">
      <w:pPr>
        <w:pStyle w:val="Answer"/>
        <w:numPr>
          <w:ilvl w:val="0"/>
          <w:numId w:val="0"/>
        </w:numPr>
        <w:ind w:left="720"/>
      </w:pPr>
    </w:p>
    <w:bookmarkEnd w:id="2"/>
    <w:p w:rsidR="00992AEC" w:rsidRDefault="00F85FD7" w:rsidP="00F85FD7">
      <w:pPr>
        <w:pStyle w:val="Answer"/>
        <w:numPr>
          <w:ilvl w:val="0"/>
          <w:numId w:val="0"/>
        </w:numPr>
        <w:spacing w:after="240"/>
        <w:ind w:left="720"/>
      </w:pPr>
      <w:r>
        <w:t>Exhibit</w:t>
      </w:r>
      <w:r w:rsidR="007D3403">
        <w:t>___</w:t>
      </w:r>
      <w:r w:rsidR="00F27741">
        <w:t>(</w:t>
      </w:r>
      <w:r w:rsidR="00A0692D" w:rsidRPr="00394180">
        <w:t>LJV-9</w:t>
      </w:r>
      <w:r w:rsidR="00F27741">
        <w:t>)</w:t>
      </w:r>
      <w:r w:rsidR="00A0692D" w:rsidRPr="00394180">
        <w:t xml:space="preserve"> is a summary of the customer-related costs</w:t>
      </w:r>
      <w:r w:rsidR="004B0D92" w:rsidRPr="00394180">
        <w:t xml:space="preserve"> calculated from</w:t>
      </w:r>
      <w:r w:rsidR="00F27741">
        <w:t xml:space="preserve"> Exhibit</w:t>
      </w:r>
      <w:r w:rsidR="007D3403">
        <w:t>___</w:t>
      </w:r>
      <w:r w:rsidR="00F27741">
        <w:t>(</w:t>
      </w:r>
      <w:r w:rsidR="004B0D92" w:rsidRPr="00394180">
        <w:t>LJV-4</w:t>
      </w:r>
      <w:r w:rsidR="00F27741">
        <w:t>)</w:t>
      </w:r>
      <w:r w:rsidR="00EE25CB" w:rsidRPr="009141AF">
        <w:t>.</w:t>
      </w:r>
      <w:r w:rsidR="00EE25CB" w:rsidRPr="00EE25CB">
        <w:t xml:space="preserve">  These</w:t>
      </w:r>
      <w:r w:rsidR="00EE25CB">
        <w:t xml:space="preserve"> costs are shown for the Company’s rate schedules</w:t>
      </w:r>
      <w:r w:rsidR="00033F6F">
        <w:t xml:space="preserve"> supporting </w:t>
      </w:r>
      <w:r w:rsidR="00F27741">
        <w:t>Exhibit</w:t>
      </w:r>
      <w:r w:rsidR="007D3403">
        <w:t>___</w:t>
      </w:r>
      <w:r w:rsidR="00F27741">
        <w:t>(</w:t>
      </w:r>
      <w:r w:rsidR="00FC2BD0" w:rsidRPr="00394180">
        <w:t>LTL-1</w:t>
      </w:r>
      <w:r w:rsidR="00F27741">
        <w:t>)</w:t>
      </w:r>
      <w:r w:rsidR="00FC2BD0" w:rsidRPr="00394180">
        <w:t xml:space="preserve"> </w:t>
      </w:r>
      <w:r w:rsidR="00033F6F">
        <w:t>in Mr. Legg’s testimony</w:t>
      </w:r>
      <w:r w:rsidR="00EE25CB">
        <w:t>.</w:t>
      </w:r>
    </w:p>
    <w:p w:rsidR="00992AEC" w:rsidRDefault="00992AEC" w:rsidP="009141AF">
      <w:pPr>
        <w:pStyle w:val="Question"/>
        <w:numPr>
          <w:ilvl w:val="0"/>
          <w:numId w:val="0"/>
        </w:numPr>
        <w:tabs>
          <w:tab w:val="left" w:pos="720"/>
        </w:tabs>
        <w:spacing w:after="240"/>
        <w:ind w:left="744" w:hanging="744"/>
        <w:rPr>
          <w:rFonts w:ascii="Times New Roman" w:hAnsi="Times New Roman" w:cs="Times New Roman"/>
        </w:rPr>
      </w:pPr>
      <w:r w:rsidRPr="00777C4E">
        <w:rPr>
          <w:rFonts w:ascii="Times New Roman" w:hAnsi="Times New Roman" w:cs="Times New Roman"/>
        </w:rPr>
        <w:t>Q.</w:t>
      </w:r>
      <w:r w:rsidRPr="00777C4E">
        <w:rPr>
          <w:rFonts w:ascii="Times New Roman" w:hAnsi="Times New Roman" w:cs="Times New Roman"/>
        </w:rPr>
        <w:tab/>
        <w:t>Who prepared the cost-of-service studies that you are sponsoring in this filing?</w:t>
      </w:r>
    </w:p>
    <w:p w:rsidR="00992AEC" w:rsidRDefault="00992AEC" w:rsidP="007A35C7">
      <w:pPr>
        <w:pStyle w:val="Answer"/>
        <w:tabs>
          <w:tab w:val="num" w:pos="696"/>
        </w:tabs>
        <w:spacing w:after="240"/>
        <w:ind w:left="744" w:hanging="744"/>
      </w:pPr>
      <w:r w:rsidRPr="00777C4E">
        <w:t xml:space="preserve">The cost-of-service studies being presented in this filing were prepared by the Costing and </w:t>
      </w:r>
      <w:r w:rsidR="00F831D1">
        <w:t>Energy Analysis</w:t>
      </w:r>
      <w:r w:rsidR="00F831D1" w:rsidRPr="00777C4E">
        <w:t xml:space="preserve"> </w:t>
      </w:r>
      <w:r w:rsidRPr="00777C4E">
        <w:t xml:space="preserve">section of </w:t>
      </w:r>
      <w:r w:rsidR="00026D34">
        <w:t>SCS</w:t>
      </w:r>
      <w:r w:rsidRPr="00777C4E">
        <w:t xml:space="preserve"> at the request of </w:t>
      </w:r>
      <w:r w:rsidR="00EB377F">
        <w:t>the</w:t>
      </w:r>
      <w:r w:rsidR="00026D34">
        <w:t xml:space="preserve"> Company</w:t>
      </w:r>
      <w:r w:rsidRPr="00777C4E">
        <w:t>.  The</w:t>
      </w:r>
      <w:r w:rsidR="00EB377F">
        <w:t>se</w:t>
      </w:r>
      <w:r w:rsidRPr="00777C4E">
        <w:t xml:space="preserve"> studies were prepared under my direction.</w:t>
      </w:r>
    </w:p>
    <w:p w:rsidR="00992AEC" w:rsidRPr="00AB7637" w:rsidRDefault="00992AEC" w:rsidP="00E1083D">
      <w:pPr>
        <w:pStyle w:val="Question"/>
        <w:tabs>
          <w:tab w:val="clear" w:pos="360"/>
          <w:tab w:val="clear" w:pos="720"/>
        </w:tabs>
        <w:spacing w:after="240"/>
        <w:rPr>
          <w:b w:val="0"/>
        </w:rPr>
      </w:pPr>
      <w:r w:rsidRPr="00777C4E">
        <w:lastRenderedPageBreak/>
        <w:t>Do you believe that th</w:t>
      </w:r>
      <w:r>
        <w:t>e Company’s recommended allocation methodologies Reflect</w:t>
      </w:r>
      <w:r w:rsidRPr="00777C4E">
        <w:t xml:space="preserve"> the most relevant cost of service to be used by this Commission?</w:t>
      </w:r>
    </w:p>
    <w:p w:rsidR="00040343" w:rsidRDefault="00992AEC" w:rsidP="001A72BB">
      <w:pPr>
        <w:pStyle w:val="Answer"/>
        <w:numPr>
          <w:ilvl w:val="0"/>
          <w:numId w:val="3"/>
        </w:numPr>
        <w:spacing w:after="240"/>
        <w:ind w:left="720" w:hanging="720"/>
      </w:pPr>
      <w:r w:rsidRPr="00777C4E">
        <w:t xml:space="preserve">Yes, I do.  </w:t>
      </w:r>
      <w:r>
        <w:t>T</w:t>
      </w:r>
      <w:r w:rsidRPr="00777C4E">
        <w:t xml:space="preserve">he overall methodology </w:t>
      </w:r>
      <w:r w:rsidR="003C7CA4">
        <w:t xml:space="preserve">used in this filing </w:t>
      </w:r>
      <w:r w:rsidRPr="00777C4E">
        <w:t>is consistent with the methodology used in numerous prior cases</w:t>
      </w:r>
      <w:r w:rsidR="00EB377F">
        <w:t xml:space="preserve"> of the Company</w:t>
      </w:r>
      <w:r>
        <w:t>.  I</w:t>
      </w:r>
      <w:r w:rsidRPr="00777C4E">
        <w:t xml:space="preserve">t </w:t>
      </w:r>
      <w:r w:rsidR="00682225">
        <w:t>continues to be</w:t>
      </w:r>
      <w:r w:rsidRPr="00777C4E">
        <w:t xml:space="preserve"> re</w:t>
      </w:r>
      <w:r>
        <w:t>flective of cost causation</w:t>
      </w:r>
      <w:r w:rsidRPr="00777C4E">
        <w:t xml:space="preserve">, it is objective and fair to </w:t>
      </w:r>
      <w:r>
        <w:t xml:space="preserve">the </w:t>
      </w:r>
      <w:r w:rsidRPr="00777C4E">
        <w:t xml:space="preserve">different groups of customers, and </w:t>
      </w:r>
      <w:r w:rsidR="003C7CA4">
        <w:t xml:space="preserve">it </w:t>
      </w:r>
      <w:r w:rsidRPr="00777C4E">
        <w:t>provides accurate</w:t>
      </w:r>
      <w:r w:rsidR="00EB377F">
        <w:t xml:space="preserve"> and</w:t>
      </w:r>
      <w:r>
        <w:t xml:space="preserve"> </w:t>
      </w:r>
      <w:r w:rsidRPr="00777C4E">
        <w:t>stable results</w:t>
      </w:r>
      <w:r>
        <w:t>.</w:t>
      </w:r>
    </w:p>
    <w:p w:rsidR="009028C4" w:rsidRPr="00F90DDE" w:rsidRDefault="009028C4" w:rsidP="009141AF">
      <w:pPr>
        <w:pStyle w:val="Answer"/>
        <w:numPr>
          <w:ilvl w:val="0"/>
          <w:numId w:val="0"/>
        </w:numPr>
        <w:spacing w:after="240"/>
        <w:ind w:left="48"/>
        <w:jc w:val="center"/>
        <w:rPr>
          <w:b/>
          <w:u w:val="single"/>
        </w:rPr>
      </w:pPr>
      <w:r w:rsidRPr="00F90DDE">
        <w:rPr>
          <w:b/>
          <w:u w:val="single"/>
        </w:rPr>
        <w:t xml:space="preserve">COST OF SERVICE </w:t>
      </w:r>
      <w:r w:rsidR="006E5A80">
        <w:rPr>
          <w:b/>
          <w:u w:val="single"/>
        </w:rPr>
        <w:t>PRINCIPLES AND APPLICATIONS</w:t>
      </w:r>
    </w:p>
    <w:p w:rsidR="009028C4" w:rsidRDefault="009028C4" w:rsidP="00E1083D">
      <w:pPr>
        <w:pStyle w:val="Question"/>
        <w:tabs>
          <w:tab w:val="clear" w:pos="360"/>
          <w:tab w:val="clear" w:pos="720"/>
        </w:tabs>
        <w:spacing w:after="240"/>
      </w:pPr>
      <w:r w:rsidRPr="00C436BC">
        <w:t xml:space="preserve">What is a cost-of-service study and </w:t>
      </w:r>
      <w:r w:rsidR="00EE25CB">
        <w:t>WHAT IS ITS PURPOSE</w:t>
      </w:r>
      <w:r w:rsidRPr="00C436BC">
        <w:t>?</w:t>
      </w:r>
    </w:p>
    <w:p w:rsidR="00492587" w:rsidRPr="00A95361" w:rsidRDefault="001F06C1" w:rsidP="001F06C1">
      <w:pPr>
        <w:pStyle w:val="Answer"/>
        <w:numPr>
          <w:ilvl w:val="0"/>
          <w:numId w:val="0"/>
        </w:numPr>
        <w:spacing w:after="240"/>
        <w:ind w:left="720" w:hanging="720"/>
      </w:pPr>
      <w:r w:rsidRPr="001F06C1">
        <w:t>A.</w:t>
      </w:r>
      <w:r>
        <w:tab/>
        <w:t>A</w:t>
      </w:r>
      <w:r w:rsidR="009028C4" w:rsidRPr="00777C4E">
        <w:t xml:space="preserve"> cost-of-service study separates a utility’s total electric investments, revenues, and expenses among the jurisdictions an electric utility serves and then among the rate classes </w:t>
      </w:r>
      <w:r w:rsidR="009028C4">
        <w:t xml:space="preserve">or groups </w:t>
      </w:r>
      <w:r w:rsidR="009028C4" w:rsidRPr="00777C4E">
        <w:t xml:space="preserve">within each jurisdiction.  </w:t>
      </w:r>
      <w:r w:rsidR="00AE0765" w:rsidRPr="00777C4E">
        <w:t>For</w:t>
      </w:r>
      <w:r w:rsidR="009028C4" w:rsidRPr="00777C4E">
        <w:t xml:space="preserve"> a regulatory commission to review a utility’s jurisdictional earnings and to evaluate the contribution made by rates within its jurisdiction, it is necessary to analyze the cost</w:t>
      </w:r>
      <w:r w:rsidR="00AE0765">
        <w:t>s</w:t>
      </w:r>
      <w:r w:rsidR="009028C4" w:rsidRPr="00777C4E">
        <w:t xml:space="preserve"> to serve the respective rate classes</w:t>
      </w:r>
      <w:r w:rsidR="009028C4">
        <w:t xml:space="preserve"> or groups</w:t>
      </w:r>
      <w:r w:rsidR="009028C4" w:rsidRPr="00777C4E">
        <w:t xml:space="preserve">.  </w:t>
      </w:r>
      <w:r w:rsidR="00EB377F">
        <w:t>L</w:t>
      </w:r>
      <w:r w:rsidR="009028C4" w:rsidRPr="00777C4E">
        <w:t xml:space="preserve">ike other electric utilities, </w:t>
      </w:r>
      <w:r w:rsidR="00EB377F" w:rsidRPr="00777C4E">
        <w:t xml:space="preserve">Georgia Power </w:t>
      </w:r>
      <w:r w:rsidR="009028C4" w:rsidRPr="00777C4E">
        <w:t>maintains its books and records in accordance with the Uniform System of Accounts as directed by FERC and this Commission.  Although this system of accounting records company-wide information, it does not separate the Company’s investments</w:t>
      </w:r>
      <w:r w:rsidR="00AE0765">
        <w:t xml:space="preserve"> or</w:t>
      </w:r>
      <w:r w:rsidR="009028C4" w:rsidRPr="00777C4E">
        <w:t xml:space="preserve"> expenses by jurisdiction or by rate classes</w:t>
      </w:r>
      <w:r w:rsidR="009028C4">
        <w:t xml:space="preserve"> or groups </w:t>
      </w:r>
      <w:r w:rsidR="009028C4" w:rsidRPr="00777C4E">
        <w:t xml:space="preserve">within jurisdiction.  The cost-of-service study that has been performed for </w:t>
      </w:r>
      <w:r w:rsidR="007174DB">
        <w:t>the Company</w:t>
      </w:r>
      <w:r w:rsidR="009028C4" w:rsidRPr="00777C4E">
        <w:t xml:space="preserve"> accomplishes this objective</w:t>
      </w:r>
      <w:r w:rsidR="009028C4">
        <w:t xml:space="preserve"> of separating costs by jurisdiction, rate groupings, and rates</w:t>
      </w:r>
      <w:r w:rsidR="005922F8" w:rsidRPr="005922F8">
        <w:t xml:space="preserve"> </w:t>
      </w:r>
      <w:r w:rsidR="005922F8">
        <w:t>using generally accepted methodologies and practices consistent with past filings</w:t>
      </w:r>
      <w:r w:rsidR="009028C4">
        <w:t>.</w:t>
      </w:r>
    </w:p>
    <w:p w:rsidR="009028C4" w:rsidRDefault="009028C4" w:rsidP="00E1083D">
      <w:pPr>
        <w:pStyle w:val="Question"/>
        <w:tabs>
          <w:tab w:val="clear" w:pos="360"/>
          <w:tab w:val="clear" w:pos="720"/>
        </w:tabs>
        <w:spacing w:after="240"/>
      </w:pPr>
      <w:r>
        <w:t>H</w:t>
      </w:r>
      <w:r w:rsidRPr="00C436BC">
        <w:t>ow</w:t>
      </w:r>
      <w:r w:rsidRPr="00777C4E">
        <w:t xml:space="preserve"> are cost-of-service studies used in the regulatory process?</w:t>
      </w:r>
    </w:p>
    <w:p w:rsidR="009028C4" w:rsidRDefault="009028C4" w:rsidP="00A95361">
      <w:pPr>
        <w:pStyle w:val="Answer"/>
        <w:tabs>
          <w:tab w:val="num" w:pos="720"/>
        </w:tabs>
        <w:spacing w:after="240"/>
        <w:ind w:left="720"/>
      </w:pPr>
      <w:r w:rsidRPr="00777C4E">
        <w:t xml:space="preserve">A cost-of-service study </w:t>
      </w:r>
      <w:r w:rsidR="007174DB">
        <w:t>typically</w:t>
      </w:r>
      <w:r>
        <w:t xml:space="preserve"> </w:t>
      </w:r>
      <w:r w:rsidR="00AE0765">
        <w:t xml:space="preserve">is </w:t>
      </w:r>
      <w:r w:rsidRPr="00777C4E">
        <w:t xml:space="preserve">used as a tool to determine </w:t>
      </w:r>
      <w:r>
        <w:t xml:space="preserve">earnings and </w:t>
      </w:r>
      <w:r w:rsidRPr="00777C4E">
        <w:t xml:space="preserve">how </w:t>
      </w:r>
      <w:r>
        <w:t xml:space="preserve">well </w:t>
      </w:r>
      <w:r w:rsidRPr="00777C4E">
        <w:t xml:space="preserve">costs </w:t>
      </w:r>
      <w:r>
        <w:t>are being</w:t>
      </w:r>
      <w:r w:rsidRPr="00777C4E">
        <w:t xml:space="preserve"> recovered from each regulatory jurisdiction, and from the customers or </w:t>
      </w:r>
      <w:r w:rsidRPr="00777C4E">
        <w:lastRenderedPageBreak/>
        <w:t>customer groups within the different jurisdictions.  The respective regulatory body ca</w:t>
      </w:r>
      <w:r>
        <w:t>n use these jurisdictional cost</w:t>
      </w:r>
      <w:r w:rsidR="00E66B43">
        <w:t>-</w:t>
      </w:r>
      <w:r w:rsidRPr="00777C4E">
        <w:t>of</w:t>
      </w:r>
      <w:r w:rsidR="00E66B43">
        <w:t>-</w:t>
      </w:r>
      <w:r w:rsidRPr="00777C4E">
        <w:t xml:space="preserve">service results to ascertain the utility’s overall revenue requirement as well as judge the adequacy of rates within that jurisdiction.  The National Association of Regulatory Utility </w:t>
      </w:r>
      <w:r>
        <w:t>C</w:t>
      </w:r>
      <w:r w:rsidRPr="00777C4E">
        <w:t xml:space="preserve">ommissioners </w:t>
      </w:r>
      <w:r w:rsidR="00E66B43">
        <w:t>(</w:t>
      </w:r>
      <w:r w:rsidR="000B43A8">
        <w:t>“</w:t>
      </w:r>
      <w:r w:rsidR="00E66B43">
        <w:t>NARUC</w:t>
      </w:r>
      <w:r w:rsidR="000B43A8">
        <w:t>”</w:t>
      </w:r>
      <w:r w:rsidR="00E66B43">
        <w:t xml:space="preserve">) </w:t>
      </w:r>
      <w:r w:rsidRPr="00777C4E">
        <w:t>identifies the cost-of-service study among the basic tools of ratemaking, and it is used to attribute costs to different categories of customers based on how those custo</w:t>
      </w:r>
      <w:r>
        <w:t>mers cause costs to be incurred.</w:t>
      </w:r>
    </w:p>
    <w:p w:rsidR="009028C4" w:rsidRPr="00D26F60" w:rsidRDefault="009028C4" w:rsidP="009141AF">
      <w:pPr>
        <w:pStyle w:val="Answer"/>
        <w:numPr>
          <w:ilvl w:val="0"/>
          <w:numId w:val="0"/>
        </w:numPr>
        <w:tabs>
          <w:tab w:val="left" w:pos="720"/>
        </w:tabs>
        <w:spacing w:after="240"/>
        <w:ind w:left="720" w:hanging="720"/>
        <w:rPr>
          <w:b/>
          <w:caps/>
        </w:rPr>
      </w:pPr>
      <w:r w:rsidRPr="00D26F60">
        <w:rPr>
          <w:b/>
          <w:caps/>
        </w:rPr>
        <w:t>Q.</w:t>
      </w:r>
      <w:r w:rsidRPr="00D26F60">
        <w:rPr>
          <w:b/>
          <w:caps/>
        </w:rPr>
        <w:tab/>
        <w:t>How w</w:t>
      </w:r>
      <w:r w:rsidR="00916D18">
        <w:rPr>
          <w:b/>
          <w:caps/>
        </w:rPr>
        <w:t>ere</w:t>
      </w:r>
      <w:r w:rsidRPr="00D26F60">
        <w:rPr>
          <w:b/>
          <w:caps/>
        </w:rPr>
        <w:t xml:space="preserve"> the stud</w:t>
      </w:r>
      <w:r w:rsidR="00916D18">
        <w:rPr>
          <w:b/>
          <w:caps/>
        </w:rPr>
        <w:t>ies</w:t>
      </w:r>
      <w:r w:rsidRPr="00D26F60">
        <w:rPr>
          <w:b/>
          <w:caps/>
        </w:rPr>
        <w:t xml:space="preserve"> used by Georgia Power in this rate filing?</w:t>
      </w:r>
    </w:p>
    <w:p w:rsidR="009028C4" w:rsidRDefault="009028C4" w:rsidP="00FD3F87">
      <w:pPr>
        <w:pStyle w:val="Answer"/>
        <w:tabs>
          <w:tab w:val="num" w:pos="720"/>
        </w:tabs>
        <w:spacing w:after="240"/>
        <w:ind w:left="720"/>
      </w:pPr>
      <w:r w:rsidRPr="00777C4E">
        <w:t xml:space="preserve">The jurisdictional separation of rate base and net operating income developed in the various schedules of </w:t>
      </w:r>
      <w:r>
        <w:t>Exhib</w:t>
      </w:r>
      <w:r w:rsidRPr="004B0D92">
        <w:t>it</w:t>
      </w:r>
      <w:r w:rsidR="007D3403">
        <w:t>___</w:t>
      </w:r>
      <w:r w:rsidRPr="004B0D92">
        <w:t>(</w:t>
      </w:r>
      <w:r w:rsidR="00574904" w:rsidRPr="006A63CC">
        <w:t>LJV</w:t>
      </w:r>
      <w:r w:rsidRPr="006A63CC">
        <w:t>-1</w:t>
      </w:r>
      <w:r w:rsidRPr="004B0D92">
        <w:t>)</w:t>
      </w:r>
      <w:r>
        <w:t xml:space="preserve"> </w:t>
      </w:r>
      <w:r w:rsidRPr="00777C4E">
        <w:t>was used to determine the proposed jurisdictional revenue increase needed to achieve the requested rate of return.  These jurisdictional separations were calculated according to accepted cost-of-service principles and followed the methodolog</w:t>
      </w:r>
      <w:r>
        <w:t xml:space="preserve">ies previously filed with </w:t>
      </w:r>
      <w:r w:rsidRPr="00777C4E">
        <w:t>th</w:t>
      </w:r>
      <w:r>
        <w:t>is</w:t>
      </w:r>
      <w:r w:rsidRPr="00777C4E">
        <w:t xml:space="preserve"> Commission.  In addition, information from the </w:t>
      </w:r>
      <w:r>
        <w:t xml:space="preserve">Company’s proposed </w:t>
      </w:r>
      <w:r w:rsidRPr="00777C4E">
        <w:t>cost-of-service study was considered in the design of proposed rates for the retail customers in this docket</w:t>
      </w:r>
      <w:r>
        <w:t xml:space="preserve"> as described in Mr. </w:t>
      </w:r>
      <w:r w:rsidR="00F831D1" w:rsidRPr="006A63CC">
        <w:t xml:space="preserve">Legg’s </w:t>
      </w:r>
      <w:r w:rsidRPr="004B0D92">
        <w:t>testimony</w:t>
      </w:r>
      <w:r w:rsidRPr="00777C4E">
        <w:t>.</w:t>
      </w:r>
    </w:p>
    <w:p w:rsidR="009028C4" w:rsidRPr="006A63CC" w:rsidRDefault="009028C4" w:rsidP="00E1083D">
      <w:pPr>
        <w:pStyle w:val="Question"/>
        <w:tabs>
          <w:tab w:val="clear" w:pos="360"/>
          <w:tab w:val="clear" w:pos="720"/>
        </w:tabs>
        <w:spacing w:after="240"/>
      </w:pPr>
      <w:r w:rsidRPr="006A63CC">
        <w:t>Where did you get the financial data used in the cost-of-service studies?</w:t>
      </w:r>
    </w:p>
    <w:p w:rsidR="009028C4" w:rsidRPr="006A63CC" w:rsidRDefault="00E66B43" w:rsidP="00FD3F87">
      <w:pPr>
        <w:pStyle w:val="Answer"/>
        <w:tabs>
          <w:tab w:val="num" w:pos="720"/>
        </w:tabs>
        <w:spacing w:after="240"/>
        <w:ind w:left="720"/>
      </w:pPr>
      <w:r w:rsidRPr="006A63CC">
        <w:t>The Company</w:t>
      </w:r>
      <w:r w:rsidR="009028C4" w:rsidRPr="006A63CC">
        <w:t xml:space="preserve"> provided the financial information for </w:t>
      </w:r>
      <w:r w:rsidR="00AE0765" w:rsidRPr="008673DB">
        <w:t>all</w:t>
      </w:r>
      <w:r w:rsidR="009028C4" w:rsidRPr="00795928">
        <w:t xml:space="preserve"> the cost-of-service studies filed in this proceeding.  </w:t>
      </w:r>
      <w:r w:rsidRPr="00795928">
        <w:t>The Company’s</w:t>
      </w:r>
      <w:r w:rsidR="009028C4" w:rsidRPr="00795928">
        <w:t xml:space="preserve"> investment, revenue, and expense items were then </w:t>
      </w:r>
      <w:r w:rsidRPr="00795928">
        <w:t xml:space="preserve">(a) directly </w:t>
      </w:r>
      <w:r w:rsidR="009028C4" w:rsidRPr="00795928">
        <w:t xml:space="preserve">assigned to </w:t>
      </w:r>
      <w:r w:rsidRPr="00795928">
        <w:t xml:space="preserve">specific </w:t>
      </w:r>
      <w:r w:rsidR="009028C4" w:rsidRPr="00795928">
        <w:t xml:space="preserve">jurisdiction and rate group </w:t>
      </w:r>
      <w:r w:rsidRPr="00795928">
        <w:t>where</w:t>
      </w:r>
      <w:r w:rsidR="009028C4" w:rsidRPr="00795928">
        <w:t xml:space="preserve"> these costs were </w:t>
      </w:r>
      <w:r w:rsidRPr="00795928">
        <w:t>explicitly</w:t>
      </w:r>
      <w:r w:rsidR="009028C4" w:rsidRPr="00795928">
        <w:t xml:space="preserve"> known </w:t>
      </w:r>
      <w:r w:rsidRPr="00795928">
        <w:t xml:space="preserve">to be caused </w:t>
      </w:r>
      <w:r w:rsidR="009028C4" w:rsidRPr="00795928">
        <w:t xml:space="preserve">by </w:t>
      </w:r>
      <w:r w:rsidRPr="00795928">
        <w:t xml:space="preserve">a specific </w:t>
      </w:r>
      <w:r w:rsidR="009028C4" w:rsidRPr="00795928">
        <w:t>rate group</w:t>
      </w:r>
      <w:r w:rsidRPr="00795928">
        <w:t xml:space="preserve"> and (b)</w:t>
      </w:r>
      <w:r w:rsidR="009028C4" w:rsidRPr="00795928">
        <w:t xml:space="preserve"> allocated to jurisdiction and rate groups and specific rates </w:t>
      </w:r>
      <w:r w:rsidRPr="00795928">
        <w:t xml:space="preserve">where the costs were determined to be jointly caused by </w:t>
      </w:r>
      <w:r w:rsidR="005D5265" w:rsidRPr="00795928">
        <w:t xml:space="preserve">the </w:t>
      </w:r>
      <w:r w:rsidR="009028C4" w:rsidRPr="00795928">
        <w:t>different groups of customers</w:t>
      </w:r>
      <w:r w:rsidR="009028C4" w:rsidRPr="006A63CC">
        <w:t>.</w:t>
      </w:r>
    </w:p>
    <w:p w:rsidR="009028C4" w:rsidRDefault="009028C4" w:rsidP="009B21F2">
      <w:pPr>
        <w:pStyle w:val="Question"/>
        <w:tabs>
          <w:tab w:val="clear" w:pos="360"/>
          <w:tab w:val="clear" w:pos="720"/>
        </w:tabs>
        <w:spacing w:after="240"/>
      </w:pPr>
      <w:r w:rsidRPr="00777C4E">
        <w:lastRenderedPageBreak/>
        <w:t xml:space="preserve">How were wholesale </w:t>
      </w:r>
      <w:r>
        <w:t>customers</w:t>
      </w:r>
      <w:r w:rsidRPr="00777C4E">
        <w:t xml:space="preserve"> treated for cost-of-service purposes?</w:t>
      </w:r>
    </w:p>
    <w:p w:rsidR="009028C4" w:rsidRPr="00B9091E" w:rsidRDefault="009028C4" w:rsidP="00B97F78">
      <w:pPr>
        <w:pStyle w:val="Answer"/>
        <w:tabs>
          <w:tab w:val="num" w:pos="720"/>
        </w:tabs>
        <w:spacing w:after="240"/>
        <w:ind w:left="720"/>
      </w:pPr>
      <w:r w:rsidRPr="009141AF">
        <w:t xml:space="preserve">Investment, revenues, and expenses associated with non-full requirements wholesale customers were identified and removed from the Total Electric System before </w:t>
      </w:r>
      <w:r w:rsidRPr="00B9091E">
        <w:rPr>
          <w:color w:val="000000"/>
        </w:rPr>
        <w:t>most</w:t>
      </w:r>
      <w:r w:rsidRPr="009141AF">
        <w:rPr>
          <w:color w:val="000000"/>
        </w:rPr>
        <w:t xml:space="preserve"> </w:t>
      </w:r>
      <w:r w:rsidRPr="00B9091E">
        <w:t xml:space="preserve">allocations were made.  </w:t>
      </w:r>
      <w:r w:rsidRPr="009141AF">
        <w:t>The remaining investment, revenue, and expense items were then assigned or allocated to the retail rate groups withi</w:t>
      </w:r>
      <w:r w:rsidRPr="00B9091E">
        <w:t xml:space="preserve">n the retail jurisdiction.  This method is consistent with the methodology filed by </w:t>
      </w:r>
      <w:r w:rsidR="0016000F" w:rsidRPr="00B9091E">
        <w:t>the Company</w:t>
      </w:r>
      <w:r w:rsidRPr="00B9091E">
        <w:t xml:space="preserve"> and accepted by this Commission in previous cases.</w:t>
      </w:r>
    </w:p>
    <w:p w:rsidR="009028C4" w:rsidRPr="000F499F" w:rsidRDefault="009028C4" w:rsidP="009B21F2">
      <w:pPr>
        <w:pStyle w:val="Question"/>
        <w:tabs>
          <w:tab w:val="clear" w:pos="360"/>
          <w:tab w:val="clear" w:pos="720"/>
        </w:tabs>
        <w:spacing w:after="240"/>
      </w:pPr>
      <w:r w:rsidRPr="000F499F">
        <w:t>In preparing a cost-of-service study, is there some overall guiding principle or concept that should be followed?</w:t>
      </w:r>
    </w:p>
    <w:p w:rsidR="009028C4" w:rsidRDefault="009028C4" w:rsidP="00CD2C2C">
      <w:pPr>
        <w:pStyle w:val="Answer"/>
        <w:tabs>
          <w:tab w:val="num" w:pos="720"/>
        </w:tabs>
        <w:ind w:left="720"/>
      </w:pPr>
      <w:r w:rsidRPr="00777C4E">
        <w:t xml:space="preserve">The overall objective </w:t>
      </w:r>
      <w:r w:rsidR="00E273C0">
        <w:t xml:space="preserve">of a cost-of-service study </w:t>
      </w:r>
      <w:r w:rsidRPr="00777C4E">
        <w:t xml:space="preserve">is to assign or allocate costs fairly and equitably to all customers.  This objective is accomplished when the resulting cost-of-service study reflects “cost causation,” i.e., those customers who caused a particular cost </w:t>
      </w:r>
      <w:r w:rsidR="00E273C0">
        <w:t xml:space="preserve">item </w:t>
      </w:r>
      <w:r w:rsidRPr="00777C4E">
        <w:t xml:space="preserve">to be incurred by the Company in providing them service should be responsible for those </w:t>
      </w:r>
      <w:r w:rsidR="00E273C0">
        <w:t xml:space="preserve">particular </w:t>
      </w:r>
      <w:r w:rsidRPr="00777C4E">
        <w:t>costs.</w:t>
      </w:r>
    </w:p>
    <w:p w:rsidR="00AB7637" w:rsidRDefault="00AB7637" w:rsidP="00AB7637">
      <w:pPr>
        <w:pStyle w:val="Answersub"/>
        <w:numPr>
          <w:ilvl w:val="0"/>
          <w:numId w:val="0"/>
        </w:numPr>
        <w:ind w:left="720"/>
      </w:pPr>
    </w:p>
    <w:p w:rsidR="009028C4" w:rsidRPr="00271386" w:rsidRDefault="009028C4" w:rsidP="00AB7637">
      <w:pPr>
        <w:pStyle w:val="Answersub"/>
        <w:numPr>
          <w:ilvl w:val="0"/>
          <w:numId w:val="0"/>
        </w:numPr>
        <w:spacing w:after="240"/>
        <w:ind w:left="720"/>
        <w:rPr>
          <w:b/>
        </w:rPr>
      </w:pPr>
      <w:r w:rsidRPr="00777C4E">
        <w:t xml:space="preserve">When certain costs are readily identified with a </w:t>
      </w:r>
      <w:r w:rsidR="00E273C0">
        <w:t>specific</w:t>
      </w:r>
      <w:r w:rsidR="00E273C0" w:rsidRPr="00777C4E">
        <w:t xml:space="preserve"> </w:t>
      </w:r>
      <w:r w:rsidRPr="00777C4E">
        <w:t xml:space="preserve">customer group, the assignment of those costs to that group clearly reflects cost </w:t>
      </w:r>
      <w:r w:rsidR="00BA3053" w:rsidRPr="00777C4E">
        <w:t>causation and</w:t>
      </w:r>
      <w:r w:rsidRPr="00777C4E">
        <w:t xml:space="preserve"> is fair and equitable to all customers.  However, it must be recognized that most parts of an electric system are planned, designed, constructed, operated, and maintained to </w:t>
      </w:r>
      <w:r w:rsidR="00E818C4">
        <w:t xml:space="preserve">jointly </w:t>
      </w:r>
      <w:r w:rsidRPr="00777C4E">
        <w:t xml:space="preserve">serve all customers.  </w:t>
      </w:r>
      <w:r w:rsidR="00E273C0">
        <w:t>T</w:t>
      </w:r>
      <w:r w:rsidRPr="00777C4E">
        <w:t>hese costs are referred to as joint or common costs.  Joint or common costs must be allocated to customer groups based on the nature</w:t>
      </w:r>
      <w:r>
        <w:t xml:space="preserve"> </w:t>
      </w:r>
      <w:r w:rsidRPr="00777C4E">
        <w:t>of the costs incurred</w:t>
      </w:r>
      <w:r w:rsidR="00BA3053">
        <w:t xml:space="preserve"> </w:t>
      </w:r>
      <w:r w:rsidRPr="00777C4E">
        <w:t xml:space="preserve">and the aggregate requirements and service characteristics of the customers that caused the costs to be incurred.  By adhering to this fundamental and essential principle of cost causation, the results of the cost-of-service study will be fair and equitable to </w:t>
      </w:r>
      <w:r>
        <w:t xml:space="preserve">all </w:t>
      </w:r>
      <w:r w:rsidRPr="00777C4E">
        <w:t>customers</w:t>
      </w:r>
      <w:r>
        <w:t>.</w:t>
      </w:r>
    </w:p>
    <w:p w:rsidR="00B1115C" w:rsidRDefault="00B1115C" w:rsidP="009B21F2">
      <w:pPr>
        <w:pStyle w:val="Question"/>
        <w:tabs>
          <w:tab w:val="clear" w:pos="360"/>
          <w:tab w:val="clear" w:pos="720"/>
        </w:tabs>
        <w:spacing w:after="240"/>
      </w:pPr>
      <w:r w:rsidRPr="00777C4E">
        <w:t xml:space="preserve">Please </w:t>
      </w:r>
      <w:r w:rsidR="00E273C0">
        <w:t xml:space="preserve">Describe </w:t>
      </w:r>
      <w:r w:rsidR="00C63D91" w:rsidRPr="00777C4E">
        <w:t xml:space="preserve">the steps that are required </w:t>
      </w:r>
      <w:r w:rsidR="00E273C0">
        <w:t>TO PREPARE A</w:t>
      </w:r>
      <w:r w:rsidR="00C63D91" w:rsidRPr="00777C4E">
        <w:t xml:space="preserve"> cost-of-service study.</w:t>
      </w:r>
    </w:p>
    <w:p w:rsidR="00B1115C" w:rsidRPr="00411971" w:rsidRDefault="00E73245" w:rsidP="00E73245">
      <w:pPr>
        <w:pStyle w:val="Answer"/>
        <w:tabs>
          <w:tab w:val="left" w:pos="696"/>
        </w:tabs>
        <w:spacing w:after="240"/>
        <w:ind w:left="1440" w:hanging="1469"/>
        <w:rPr>
          <w:rFonts w:cs="Times New Roman"/>
        </w:rPr>
      </w:pPr>
      <w:r>
        <w:lastRenderedPageBreak/>
        <w:t>(1</w:t>
      </w:r>
      <w:r w:rsidR="00B1115C" w:rsidRPr="00777C4E">
        <w:t>)</w:t>
      </w:r>
      <w:r w:rsidR="00B1115C">
        <w:tab/>
      </w:r>
      <w:r w:rsidR="00B1115C" w:rsidRPr="00A2736F">
        <w:rPr>
          <w:i/>
        </w:rPr>
        <w:t>Functionalization</w:t>
      </w:r>
      <w:r w:rsidR="00B1115C" w:rsidRPr="00777C4E">
        <w:t xml:space="preserve"> separates the investment and expenses of the Company into specifi</w:t>
      </w:r>
      <w:r w:rsidR="002871D2">
        <w:t>ed</w:t>
      </w:r>
      <w:r w:rsidR="00B1115C" w:rsidRPr="00777C4E">
        <w:t xml:space="preserve"> functional categories based on the operations involved in providing electric service.  </w:t>
      </w:r>
      <w:r w:rsidR="002871D2">
        <w:t>The Company</w:t>
      </w:r>
      <w:r w:rsidR="00B1115C" w:rsidRPr="00777C4E">
        <w:t xml:space="preserve"> follows the functional categories set forth by the FERC Uniform System of Accounts, </w:t>
      </w:r>
      <w:r w:rsidR="002871D2">
        <w:t>which</w:t>
      </w:r>
      <w:r w:rsidR="00B1115C" w:rsidRPr="00777C4E">
        <w:t xml:space="preserve"> are production, transmission, distribution, customer services (customer accounting, customer assistance, sales), and administrative and general.</w:t>
      </w:r>
    </w:p>
    <w:p w:rsidR="00411971" w:rsidRPr="00271386" w:rsidRDefault="00411971" w:rsidP="00411971">
      <w:pPr>
        <w:pStyle w:val="Answer"/>
        <w:numPr>
          <w:ilvl w:val="0"/>
          <w:numId w:val="0"/>
        </w:numPr>
        <w:tabs>
          <w:tab w:val="left" w:pos="696"/>
        </w:tabs>
        <w:spacing w:after="240"/>
        <w:ind w:left="1440"/>
        <w:rPr>
          <w:rFonts w:cs="Times New Roman"/>
        </w:rPr>
      </w:pPr>
    </w:p>
    <w:p w:rsidR="001A72BB" w:rsidRPr="001A72BB" w:rsidRDefault="00B1115C" w:rsidP="001A72BB">
      <w:pPr>
        <w:pStyle w:val="Answer"/>
        <w:numPr>
          <w:ilvl w:val="0"/>
          <w:numId w:val="0"/>
        </w:numPr>
        <w:tabs>
          <w:tab w:val="left" w:pos="696"/>
        </w:tabs>
        <w:spacing w:after="240"/>
        <w:ind w:left="1440" w:hanging="1469"/>
        <w:rPr>
          <w:rFonts w:cs="Times New Roman"/>
        </w:rPr>
      </w:pPr>
      <w:r w:rsidRPr="00777C4E">
        <w:rPr>
          <w:rFonts w:cs="Times New Roman"/>
        </w:rPr>
        <w:tab/>
      </w:r>
      <w:r>
        <w:rPr>
          <w:rFonts w:cs="Times New Roman"/>
        </w:rPr>
        <w:t>(2)</w:t>
      </w:r>
      <w:r>
        <w:rPr>
          <w:rFonts w:cs="Times New Roman"/>
        </w:rPr>
        <w:tab/>
      </w:r>
      <w:r w:rsidRPr="00A2736F">
        <w:rPr>
          <w:i/>
        </w:rPr>
        <w:t>Levelization</w:t>
      </w:r>
      <w:r w:rsidRPr="00E73245">
        <w:t xml:space="preserve"> </w:t>
      </w:r>
      <w:r w:rsidR="002871D2" w:rsidRPr="00E73245">
        <w:t xml:space="preserve">further </w:t>
      </w:r>
      <w:r w:rsidRPr="00E73245">
        <w:t xml:space="preserve">separates </w:t>
      </w:r>
      <w:r w:rsidR="002871D2" w:rsidRPr="00E73245">
        <w:t xml:space="preserve">the </w:t>
      </w:r>
      <w:r w:rsidR="00D66E18">
        <w:t xml:space="preserve">functionalized </w:t>
      </w:r>
      <w:r w:rsidR="002871D2" w:rsidRPr="00E73245">
        <w:t>investment and expenses</w:t>
      </w:r>
      <w:r w:rsidR="002871D2" w:rsidRPr="00777C4E">
        <w:t xml:space="preserve"> </w:t>
      </w:r>
      <w:r w:rsidRPr="00E73245">
        <w:t xml:space="preserve">into </w:t>
      </w:r>
      <w:r w:rsidR="002871D2" w:rsidRPr="00E73245">
        <w:t>voltage</w:t>
      </w:r>
      <w:r w:rsidR="003428C5">
        <w:t>-based service</w:t>
      </w:r>
      <w:r w:rsidRPr="00E73245">
        <w:t xml:space="preserve"> levels </w:t>
      </w:r>
      <w:r w:rsidR="002871D2" w:rsidRPr="00E73245">
        <w:t>of the</w:t>
      </w:r>
      <w:r w:rsidRPr="00E73245">
        <w:t xml:space="preserve"> system.  The </w:t>
      </w:r>
      <w:r w:rsidR="00916D18">
        <w:t xml:space="preserve">service </w:t>
      </w:r>
      <w:r w:rsidRPr="00E73245">
        <w:t xml:space="preserve">level designations are a means of identifying and associating investment and expenses with customers and their loads at established points of </w:t>
      </w:r>
      <w:r w:rsidR="003428C5">
        <w:t xml:space="preserve">electrical </w:t>
      </w:r>
      <w:r w:rsidRPr="00E73245">
        <w:t>service.  In general, the lower the voltage level of service required by the customer, the greater the cost of providing service since additional equipment is necessary to deliver lower voltage service</w:t>
      </w:r>
      <w:r w:rsidR="00E73245">
        <w:t xml:space="preserve">.  </w:t>
      </w:r>
      <w:r w:rsidR="00916D18" w:rsidRPr="00681D37">
        <w:rPr>
          <w:rFonts w:cs="Times New Roman"/>
        </w:rPr>
        <w:t xml:space="preserve">The following </w:t>
      </w:r>
      <w:r w:rsidR="00E2319D">
        <w:rPr>
          <w:rFonts w:cs="Times New Roman"/>
        </w:rPr>
        <w:t>table describes</w:t>
      </w:r>
      <w:r w:rsidR="00916D18" w:rsidRPr="00681D37">
        <w:rPr>
          <w:rFonts w:cs="Times New Roman"/>
        </w:rPr>
        <w:t xml:space="preserve"> each service level </w:t>
      </w:r>
      <w:r w:rsidR="00E2319D">
        <w:rPr>
          <w:rFonts w:cs="Times New Roman"/>
        </w:rPr>
        <w:t>of the system.</w:t>
      </w:r>
      <w:r w:rsidR="001A72BB">
        <w:rPr>
          <w:rFonts w:cs="Times New Roman"/>
        </w:rPr>
        <w:br w:type="page"/>
      </w:r>
    </w:p>
    <w:tbl>
      <w:tblPr>
        <w:tblW w:w="81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6480"/>
      </w:tblGrid>
      <w:tr w:rsidR="00E2319D" w:rsidRPr="00681D37" w:rsidTr="00A2736F">
        <w:trPr>
          <w:trHeight w:val="432"/>
          <w:jc w:val="right"/>
        </w:trPr>
        <w:tc>
          <w:tcPr>
            <w:tcW w:w="1705" w:type="dxa"/>
            <w:vAlign w:val="center"/>
          </w:tcPr>
          <w:p w:rsidR="00E2319D" w:rsidRPr="002A2DD6" w:rsidRDefault="00E2319D" w:rsidP="009141AF">
            <w:pPr>
              <w:jc w:val="center"/>
              <w:rPr>
                <w:b/>
              </w:rPr>
            </w:pPr>
            <w:r>
              <w:rPr>
                <w:b/>
              </w:rPr>
              <w:lastRenderedPageBreak/>
              <w:t>Voltage Level</w:t>
            </w:r>
          </w:p>
        </w:tc>
        <w:tc>
          <w:tcPr>
            <w:tcW w:w="6480" w:type="dxa"/>
            <w:shd w:val="clear" w:color="auto" w:fill="auto"/>
            <w:vAlign w:val="center"/>
          </w:tcPr>
          <w:p w:rsidR="00E2319D" w:rsidRPr="00681D37" w:rsidRDefault="00E2319D">
            <w:pPr>
              <w:jc w:val="center"/>
            </w:pPr>
            <w:r w:rsidRPr="002A2DD6">
              <w:rPr>
                <w:b/>
              </w:rPr>
              <w:t>Level Description</w:t>
            </w:r>
          </w:p>
        </w:tc>
      </w:tr>
      <w:tr w:rsidR="00E2319D" w:rsidRPr="00681D37" w:rsidTr="00A2736F">
        <w:trPr>
          <w:trHeight w:val="394"/>
          <w:jc w:val="right"/>
        </w:trPr>
        <w:tc>
          <w:tcPr>
            <w:tcW w:w="1705" w:type="dxa"/>
            <w:vAlign w:val="center"/>
          </w:tcPr>
          <w:p w:rsidR="00E2319D" w:rsidRPr="00681D37" w:rsidRDefault="00E2319D" w:rsidP="00E2319D">
            <w:pPr>
              <w:spacing w:before="60" w:after="60"/>
            </w:pPr>
            <w:r w:rsidRPr="00681D37">
              <w:t>A</w:t>
            </w:r>
          </w:p>
        </w:tc>
        <w:tc>
          <w:tcPr>
            <w:tcW w:w="6480" w:type="dxa"/>
            <w:shd w:val="clear" w:color="auto" w:fill="auto"/>
            <w:vAlign w:val="center"/>
          </w:tcPr>
          <w:p w:rsidR="00E2319D" w:rsidRPr="002A2DD6" w:rsidRDefault="00E2319D" w:rsidP="00E2319D">
            <w:pPr>
              <w:spacing w:before="60" w:after="60"/>
              <w:rPr>
                <w:b/>
              </w:rPr>
            </w:pPr>
            <w:r w:rsidRPr="00681D37">
              <w:t>Generation</w:t>
            </w:r>
          </w:p>
        </w:tc>
      </w:tr>
      <w:tr w:rsidR="00E2319D" w:rsidRPr="00681D37" w:rsidTr="00A2736F">
        <w:trPr>
          <w:trHeight w:val="414"/>
          <w:jc w:val="right"/>
        </w:trPr>
        <w:tc>
          <w:tcPr>
            <w:tcW w:w="1705" w:type="dxa"/>
            <w:vAlign w:val="center"/>
          </w:tcPr>
          <w:p w:rsidR="00E2319D" w:rsidRPr="00681D37" w:rsidRDefault="00E2319D" w:rsidP="00E2319D">
            <w:pPr>
              <w:spacing w:before="60" w:after="60"/>
            </w:pPr>
            <w:r w:rsidRPr="00681D37">
              <w:t>B-1</w:t>
            </w:r>
          </w:p>
        </w:tc>
        <w:tc>
          <w:tcPr>
            <w:tcW w:w="6480" w:type="dxa"/>
            <w:shd w:val="clear" w:color="auto" w:fill="auto"/>
            <w:vAlign w:val="center"/>
          </w:tcPr>
          <w:p w:rsidR="00E2319D" w:rsidRPr="00681D37" w:rsidRDefault="00E2319D" w:rsidP="00E2319D">
            <w:pPr>
              <w:spacing w:before="60" w:after="60"/>
            </w:pPr>
            <w:r w:rsidRPr="00681D37">
              <w:t>Step-up Substation</w:t>
            </w:r>
          </w:p>
        </w:tc>
      </w:tr>
      <w:tr w:rsidR="00E2319D" w:rsidRPr="00681D37" w:rsidTr="00A2736F">
        <w:trPr>
          <w:trHeight w:val="394"/>
          <w:jc w:val="right"/>
        </w:trPr>
        <w:tc>
          <w:tcPr>
            <w:tcW w:w="1705" w:type="dxa"/>
            <w:vAlign w:val="center"/>
          </w:tcPr>
          <w:p w:rsidR="00E2319D" w:rsidRPr="002A2DD6" w:rsidRDefault="00E2319D" w:rsidP="00E2319D">
            <w:pPr>
              <w:pStyle w:val="SingleSpacing"/>
              <w:spacing w:before="60" w:after="60" w:line="240" w:lineRule="auto"/>
              <w:rPr>
                <w:rFonts w:ascii="Times New Roman" w:hAnsi="Times New Roman" w:cs="Times New Roman"/>
              </w:rPr>
            </w:pPr>
            <w:r w:rsidRPr="00681D37">
              <w:t>B-2</w:t>
            </w:r>
          </w:p>
        </w:tc>
        <w:tc>
          <w:tcPr>
            <w:tcW w:w="6480" w:type="dxa"/>
            <w:shd w:val="clear" w:color="auto" w:fill="auto"/>
          </w:tcPr>
          <w:p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High Voltage Transmission Lines (&gt;115 </w:t>
            </w:r>
            <w:r w:rsidR="00047F0A">
              <w:rPr>
                <w:rFonts w:ascii="Times New Roman" w:hAnsi="Times New Roman" w:cs="Times New Roman"/>
              </w:rPr>
              <w:t>k</w:t>
            </w:r>
            <w:r w:rsidRPr="002A2DD6">
              <w:rPr>
                <w:rFonts w:ascii="Times New Roman" w:hAnsi="Times New Roman" w:cs="Times New Roman"/>
              </w:rPr>
              <w:t>V)</w:t>
            </w:r>
          </w:p>
        </w:tc>
      </w:tr>
      <w:tr w:rsidR="00E2319D" w:rsidRPr="00681D37" w:rsidTr="00A2736F">
        <w:trPr>
          <w:trHeight w:val="684"/>
          <w:jc w:val="right"/>
        </w:trPr>
        <w:tc>
          <w:tcPr>
            <w:tcW w:w="1705" w:type="dxa"/>
            <w:vAlign w:val="center"/>
          </w:tcPr>
          <w:p w:rsidR="00E2319D" w:rsidRPr="002A2DD6" w:rsidRDefault="00E2319D" w:rsidP="00E2319D">
            <w:pPr>
              <w:pStyle w:val="SingleSpacing"/>
              <w:spacing w:before="60" w:after="60" w:line="240" w:lineRule="auto"/>
              <w:rPr>
                <w:rFonts w:ascii="Times New Roman" w:hAnsi="Times New Roman" w:cs="Times New Roman"/>
              </w:rPr>
            </w:pPr>
            <w:r w:rsidRPr="00681D37">
              <w:t>C-1</w:t>
            </w:r>
          </w:p>
        </w:tc>
        <w:tc>
          <w:tcPr>
            <w:tcW w:w="6480" w:type="dxa"/>
            <w:shd w:val="clear" w:color="auto" w:fill="auto"/>
          </w:tcPr>
          <w:p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Substations Transforming from High Voltage Transmission Line (&gt;115 </w:t>
            </w:r>
            <w:r w:rsidR="00047F0A">
              <w:rPr>
                <w:rFonts w:ascii="Times New Roman" w:hAnsi="Times New Roman" w:cs="Times New Roman"/>
              </w:rPr>
              <w:t>k</w:t>
            </w:r>
            <w:r w:rsidRPr="002A2DD6">
              <w:rPr>
                <w:rFonts w:ascii="Times New Roman" w:hAnsi="Times New Roman" w:cs="Times New Roman"/>
              </w:rPr>
              <w:t xml:space="preserve">V) to Subtransmission Voltage (&lt;69 </w:t>
            </w:r>
            <w:r w:rsidR="00047F0A">
              <w:rPr>
                <w:rFonts w:ascii="Times New Roman" w:hAnsi="Times New Roman" w:cs="Times New Roman"/>
              </w:rPr>
              <w:t>k</w:t>
            </w:r>
            <w:r w:rsidRPr="002A2DD6">
              <w:rPr>
                <w:rFonts w:ascii="Times New Roman" w:hAnsi="Times New Roman" w:cs="Times New Roman"/>
              </w:rPr>
              <w:t>V)</w:t>
            </w:r>
          </w:p>
        </w:tc>
      </w:tr>
      <w:tr w:rsidR="00E2319D" w:rsidRPr="00681D37" w:rsidTr="00A2736F">
        <w:trPr>
          <w:trHeight w:val="394"/>
          <w:jc w:val="right"/>
        </w:trPr>
        <w:tc>
          <w:tcPr>
            <w:tcW w:w="1705" w:type="dxa"/>
            <w:vAlign w:val="center"/>
          </w:tcPr>
          <w:p w:rsidR="00E2319D" w:rsidRPr="002A2DD6" w:rsidRDefault="00E2319D" w:rsidP="00E2319D">
            <w:pPr>
              <w:pStyle w:val="SingleSpacing"/>
              <w:spacing w:before="60" w:after="60" w:line="240" w:lineRule="auto"/>
              <w:rPr>
                <w:rFonts w:ascii="Times New Roman" w:hAnsi="Times New Roman" w:cs="Times New Roman"/>
              </w:rPr>
            </w:pPr>
            <w:r w:rsidRPr="00681D37">
              <w:t>D</w:t>
            </w:r>
          </w:p>
        </w:tc>
        <w:tc>
          <w:tcPr>
            <w:tcW w:w="6480" w:type="dxa"/>
            <w:shd w:val="clear" w:color="auto" w:fill="auto"/>
          </w:tcPr>
          <w:p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Subtransmission Voltage Lines (&lt;69 </w:t>
            </w:r>
            <w:r w:rsidR="00047F0A">
              <w:rPr>
                <w:rFonts w:ascii="Times New Roman" w:hAnsi="Times New Roman" w:cs="Times New Roman"/>
              </w:rPr>
              <w:t>k</w:t>
            </w:r>
            <w:r w:rsidRPr="002A2DD6">
              <w:rPr>
                <w:rFonts w:ascii="Times New Roman" w:hAnsi="Times New Roman" w:cs="Times New Roman"/>
              </w:rPr>
              <w:t>V)</w:t>
            </w:r>
          </w:p>
        </w:tc>
      </w:tr>
      <w:tr w:rsidR="00E2319D" w:rsidRPr="00681D37" w:rsidTr="00A2736F">
        <w:trPr>
          <w:trHeight w:val="684"/>
          <w:jc w:val="right"/>
        </w:trPr>
        <w:tc>
          <w:tcPr>
            <w:tcW w:w="1705" w:type="dxa"/>
            <w:vAlign w:val="center"/>
          </w:tcPr>
          <w:p w:rsidR="00E2319D" w:rsidRPr="002A2DD6" w:rsidRDefault="00E2319D" w:rsidP="00E2319D">
            <w:pPr>
              <w:pStyle w:val="SingleSpacing"/>
              <w:spacing w:before="60" w:after="60" w:line="240" w:lineRule="auto"/>
              <w:rPr>
                <w:rFonts w:ascii="Times New Roman" w:hAnsi="Times New Roman" w:cs="Times New Roman"/>
              </w:rPr>
            </w:pPr>
            <w:r w:rsidRPr="00681D37">
              <w:t>C-2</w:t>
            </w:r>
          </w:p>
        </w:tc>
        <w:tc>
          <w:tcPr>
            <w:tcW w:w="6480" w:type="dxa"/>
            <w:shd w:val="clear" w:color="auto" w:fill="auto"/>
          </w:tcPr>
          <w:p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Substations Transforming from High Voltage Transmission Line (&gt;115 </w:t>
            </w:r>
            <w:r w:rsidR="00047F0A">
              <w:rPr>
                <w:rFonts w:ascii="Times New Roman" w:hAnsi="Times New Roman" w:cs="Times New Roman"/>
              </w:rPr>
              <w:t>k</w:t>
            </w:r>
            <w:r w:rsidRPr="002A2DD6">
              <w:rPr>
                <w:rFonts w:ascii="Times New Roman" w:hAnsi="Times New Roman" w:cs="Times New Roman"/>
              </w:rPr>
              <w:t xml:space="preserve">V) to Primary Distribution Voltage (&lt;25 </w:t>
            </w:r>
            <w:r w:rsidR="00047F0A">
              <w:rPr>
                <w:rFonts w:ascii="Times New Roman" w:hAnsi="Times New Roman" w:cs="Times New Roman"/>
              </w:rPr>
              <w:t>k</w:t>
            </w:r>
            <w:r w:rsidRPr="002A2DD6">
              <w:rPr>
                <w:rFonts w:ascii="Times New Roman" w:hAnsi="Times New Roman" w:cs="Times New Roman"/>
              </w:rPr>
              <w:t>V)</w:t>
            </w:r>
          </w:p>
        </w:tc>
      </w:tr>
      <w:tr w:rsidR="00E2319D" w:rsidRPr="00681D37" w:rsidTr="00A2736F">
        <w:trPr>
          <w:trHeight w:val="684"/>
          <w:jc w:val="right"/>
        </w:trPr>
        <w:tc>
          <w:tcPr>
            <w:tcW w:w="1705" w:type="dxa"/>
            <w:vAlign w:val="center"/>
          </w:tcPr>
          <w:p w:rsidR="00E2319D" w:rsidRPr="002A2DD6" w:rsidRDefault="00E2319D" w:rsidP="00E2319D">
            <w:pPr>
              <w:pStyle w:val="SingleSpacing"/>
              <w:spacing w:before="60" w:after="60" w:line="240" w:lineRule="auto"/>
              <w:rPr>
                <w:rFonts w:ascii="Times New Roman" w:hAnsi="Times New Roman" w:cs="Times New Roman"/>
              </w:rPr>
            </w:pPr>
            <w:r w:rsidRPr="00681D37">
              <w:t>E</w:t>
            </w:r>
          </w:p>
        </w:tc>
        <w:tc>
          <w:tcPr>
            <w:tcW w:w="6480" w:type="dxa"/>
            <w:shd w:val="clear" w:color="auto" w:fill="auto"/>
          </w:tcPr>
          <w:p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Substations Transforming from Subtransmission Voltage Lines (&lt;69 </w:t>
            </w:r>
            <w:r w:rsidR="00047F0A">
              <w:rPr>
                <w:rFonts w:ascii="Times New Roman" w:hAnsi="Times New Roman" w:cs="Times New Roman"/>
              </w:rPr>
              <w:t>k</w:t>
            </w:r>
            <w:r w:rsidRPr="002A2DD6">
              <w:rPr>
                <w:rFonts w:ascii="Times New Roman" w:hAnsi="Times New Roman" w:cs="Times New Roman"/>
              </w:rPr>
              <w:t xml:space="preserve">V) to Primary Distribution Lines (4-25 </w:t>
            </w:r>
            <w:r w:rsidR="00047F0A">
              <w:rPr>
                <w:rFonts w:ascii="Times New Roman" w:hAnsi="Times New Roman" w:cs="Times New Roman"/>
              </w:rPr>
              <w:t>k</w:t>
            </w:r>
            <w:r w:rsidRPr="002A2DD6">
              <w:rPr>
                <w:rFonts w:ascii="Times New Roman" w:hAnsi="Times New Roman" w:cs="Times New Roman"/>
              </w:rPr>
              <w:t>V)</w:t>
            </w:r>
          </w:p>
        </w:tc>
      </w:tr>
      <w:tr w:rsidR="00E2319D" w:rsidRPr="00681D37" w:rsidTr="00A2736F">
        <w:trPr>
          <w:trHeight w:val="414"/>
          <w:jc w:val="right"/>
        </w:trPr>
        <w:tc>
          <w:tcPr>
            <w:tcW w:w="1705" w:type="dxa"/>
            <w:vAlign w:val="center"/>
          </w:tcPr>
          <w:p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F</w:t>
            </w:r>
          </w:p>
        </w:tc>
        <w:tc>
          <w:tcPr>
            <w:tcW w:w="6480" w:type="dxa"/>
            <w:shd w:val="clear" w:color="auto" w:fill="auto"/>
          </w:tcPr>
          <w:p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Primary Distribution Lines (4-25 </w:t>
            </w:r>
            <w:r w:rsidR="00047F0A">
              <w:rPr>
                <w:rFonts w:ascii="Times New Roman" w:hAnsi="Times New Roman" w:cs="Times New Roman"/>
              </w:rPr>
              <w:t>k</w:t>
            </w:r>
            <w:r w:rsidRPr="002A2DD6">
              <w:rPr>
                <w:rFonts w:ascii="Times New Roman" w:hAnsi="Times New Roman" w:cs="Times New Roman"/>
              </w:rPr>
              <w:t>V)</w:t>
            </w:r>
          </w:p>
        </w:tc>
      </w:tr>
      <w:tr w:rsidR="00E2319D" w:rsidRPr="00681D37" w:rsidTr="00A2736F">
        <w:trPr>
          <w:trHeight w:val="414"/>
          <w:jc w:val="right"/>
        </w:trPr>
        <w:tc>
          <w:tcPr>
            <w:tcW w:w="1705" w:type="dxa"/>
            <w:vAlign w:val="center"/>
          </w:tcPr>
          <w:p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G</w:t>
            </w:r>
          </w:p>
        </w:tc>
        <w:tc>
          <w:tcPr>
            <w:tcW w:w="6480" w:type="dxa"/>
            <w:shd w:val="clear" w:color="auto" w:fill="auto"/>
          </w:tcPr>
          <w:p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Secondary Distribution (&lt;1 </w:t>
            </w:r>
            <w:r w:rsidR="00047F0A">
              <w:rPr>
                <w:rFonts w:ascii="Times New Roman" w:hAnsi="Times New Roman" w:cs="Times New Roman"/>
              </w:rPr>
              <w:t>k</w:t>
            </w:r>
            <w:r w:rsidRPr="002A2DD6">
              <w:rPr>
                <w:rFonts w:ascii="Times New Roman" w:hAnsi="Times New Roman" w:cs="Times New Roman"/>
              </w:rPr>
              <w:t>V)</w:t>
            </w:r>
          </w:p>
        </w:tc>
      </w:tr>
    </w:tbl>
    <w:p w:rsidR="001A72BB" w:rsidRDefault="001A72BB" w:rsidP="001A72BB">
      <w:pPr>
        <w:pStyle w:val="Answer"/>
        <w:numPr>
          <w:ilvl w:val="0"/>
          <w:numId w:val="0"/>
        </w:numPr>
        <w:spacing w:after="240"/>
        <w:ind w:left="1440" w:hanging="1440"/>
        <w:rPr>
          <w:rFonts w:cs="Times New Roman"/>
        </w:rPr>
      </w:pPr>
    </w:p>
    <w:p w:rsidR="007F49B7" w:rsidRPr="00AB7637" w:rsidRDefault="001A72BB" w:rsidP="001A72BB">
      <w:pPr>
        <w:pStyle w:val="Answer"/>
        <w:numPr>
          <w:ilvl w:val="0"/>
          <w:numId w:val="0"/>
        </w:numPr>
        <w:tabs>
          <w:tab w:val="left" w:pos="720"/>
        </w:tabs>
        <w:spacing w:after="240"/>
        <w:ind w:left="1440" w:hanging="1440"/>
        <w:rPr>
          <w:rFonts w:cs="Times New Roman"/>
        </w:rPr>
      </w:pPr>
      <w:r>
        <w:rPr>
          <w:rFonts w:cs="Times New Roman"/>
        </w:rPr>
        <w:tab/>
      </w:r>
      <w:r w:rsidR="007F49B7" w:rsidRPr="00777C4E">
        <w:rPr>
          <w:rFonts w:cs="Times New Roman"/>
        </w:rPr>
        <w:t>(3)</w:t>
      </w:r>
      <w:r w:rsidR="007F49B7">
        <w:rPr>
          <w:rFonts w:cs="Times New Roman"/>
        </w:rPr>
        <w:tab/>
      </w:r>
      <w:r w:rsidR="007F49B7" w:rsidRPr="002275E7">
        <w:rPr>
          <w:rFonts w:cs="Times New Roman"/>
          <w:i/>
        </w:rPr>
        <w:t>Classification</w:t>
      </w:r>
      <w:r w:rsidR="007F49B7" w:rsidRPr="00335B36">
        <w:rPr>
          <w:rFonts w:cs="Times New Roman"/>
        </w:rPr>
        <w:t xml:space="preserve"> </w:t>
      </w:r>
      <w:r w:rsidR="00444C2B" w:rsidRPr="00335B36">
        <w:rPr>
          <w:rFonts w:cs="Times New Roman"/>
        </w:rPr>
        <w:t>differentiates</w:t>
      </w:r>
      <w:r w:rsidR="007F49B7" w:rsidRPr="00335B36">
        <w:rPr>
          <w:rFonts w:cs="Times New Roman"/>
        </w:rPr>
        <w:t xml:space="preserve"> the </w:t>
      </w:r>
      <w:r w:rsidR="007F49B7" w:rsidRPr="00AB7637">
        <w:rPr>
          <w:rFonts w:cs="Times New Roman"/>
        </w:rPr>
        <w:t xml:space="preserve">levelized </w:t>
      </w:r>
      <w:r w:rsidR="003428C5" w:rsidRPr="00AB7637">
        <w:rPr>
          <w:rFonts w:cs="Times New Roman"/>
        </w:rPr>
        <w:t xml:space="preserve">functional </w:t>
      </w:r>
      <w:r w:rsidR="007F49B7" w:rsidRPr="00AB7637">
        <w:rPr>
          <w:rFonts w:cs="Times New Roman"/>
        </w:rPr>
        <w:t>investment and expenses</w:t>
      </w:r>
      <w:r w:rsidR="007F49B7" w:rsidRPr="00335B36">
        <w:rPr>
          <w:rFonts w:cs="Times New Roman"/>
        </w:rPr>
        <w:t xml:space="preserve"> </w:t>
      </w:r>
      <w:r w:rsidR="00444C2B" w:rsidRPr="00335B36">
        <w:rPr>
          <w:rFonts w:cs="Times New Roman"/>
        </w:rPr>
        <w:t>based on</w:t>
      </w:r>
      <w:r w:rsidR="007F49B7" w:rsidRPr="00335B36">
        <w:rPr>
          <w:rFonts w:cs="Times New Roman"/>
        </w:rPr>
        <w:t xml:space="preserve"> three primary </w:t>
      </w:r>
      <w:r w:rsidR="003428C5" w:rsidRPr="00335B36">
        <w:rPr>
          <w:rFonts w:cs="Times New Roman"/>
        </w:rPr>
        <w:t xml:space="preserve">cost </w:t>
      </w:r>
      <w:r w:rsidR="007F49B7" w:rsidRPr="00335B36">
        <w:rPr>
          <w:rFonts w:cs="Times New Roman"/>
        </w:rPr>
        <w:t>drivers</w:t>
      </w:r>
      <w:r w:rsidR="00230CF4" w:rsidRPr="00335B36">
        <w:rPr>
          <w:rFonts w:cs="Times New Roman"/>
        </w:rPr>
        <w:t xml:space="preserve">: </w:t>
      </w:r>
      <w:r w:rsidR="00230CF4" w:rsidRPr="00AB7637">
        <w:rPr>
          <w:rFonts w:cs="Times New Roman"/>
        </w:rPr>
        <w:t>demand related, energy related, and customer related.</w:t>
      </w:r>
      <w:r w:rsidR="00444C2B" w:rsidRPr="00335B36">
        <w:rPr>
          <w:rFonts w:cs="Times New Roman"/>
        </w:rPr>
        <w:t xml:space="preserve"> </w:t>
      </w:r>
      <w:r w:rsidR="0003431D" w:rsidRPr="00795928">
        <w:rPr>
          <w:rFonts w:cs="Times New Roman"/>
        </w:rPr>
        <w:t xml:space="preserve"> </w:t>
      </w:r>
      <w:r w:rsidR="00230CF4" w:rsidRPr="00335B36">
        <w:rPr>
          <w:rFonts w:cs="Times New Roman"/>
        </w:rPr>
        <w:t xml:space="preserve">These are </w:t>
      </w:r>
      <w:r w:rsidR="007F49B7" w:rsidRPr="00335B36">
        <w:rPr>
          <w:rFonts w:cs="Times New Roman"/>
        </w:rPr>
        <w:t>identified by the characteristics of the investment and expenses within each function and level</w:t>
      </w:r>
      <w:r w:rsidR="00230CF4" w:rsidRPr="00335B36">
        <w:rPr>
          <w:rFonts w:cs="Times New Roman"/>
        </w:rPr>
        <w:t>.</w:t>
      </w:r>
      <w:r w:rsidR="00230CF4" w:rsidRPr="00AB7637">
        <w:rPr>
          <w:rFonts w:cs="Times New Roman"/>
        </w:rPr>
        <w:t xml:space="preserve"> </w:t>
      </w:r>
      <w:r w:rsidR="00EB126B" w:rsidRPr="00AB7637">
        <w:rPr>
          <w:rFonts w:cs="Times New Roman"/>
        </w:rPr>
        <w:t xml:space="preserve"> </w:t>
      </w:r>
      <w:r w:rsidR="00230CF4" w:rsidRPr="00AB7637">
        <w:rPr>
          <w:rFonts w:cs="Times New Roman"/>
        </w:rPr>
        <w:t xml:space="preserve">Each of these three cost drivers has its own separate and appropriate allocation methodology to </w:t>
      </w:r>
      <w:r w:rsidR="00EB126B" w:rsidRPr="00AB7637">
        <w:rPr>
          <w:rFonts w:cs="Times New Roman"/>
        </w:rPr>
        <w:t>apportion</w:t>
      </w:r>
      <w:r w:rsidR="00230CF4" w:rsidRPr="00AB7637">
        <w:rPr>
          <w:rFonts w:cs="Times New Roman"/>
        </w:rPr>
        <w:t xml:space="preserve"> respective costs to the associated jurisdiction</w:t>
      </w:r>
      <w:r w:rsidR="00335B36" w:rsidRPr="00335B36">
        <w:rPr>
          <w:rFonts w:cs="Times New Roman"/>
        </w:rPr>
        <w:t xml:space="preserve">, customer class, and </w:t>
      </w:r>
      <w:r w:rsidR="00335B36" w:rsidRPr="00AB7637">
        <w:rPr>
          <w:rFonts w:cs="Times New Roman"/>
        </w:rPr>
        <w:t>rate group.</w:t>
      </w:r>
    </w:p>
    <w:p w:rsidR="00B1115C" w:rsidRDefault="00B1115C" w:rsidP="00230CF4">
      <w:pPr>
        <w:pStyle w:val="SingleSpacing"/>
        <w:tabs>
          <w:tab w:val="left" w:pos="1440"/>
        </w:tabs>
        <w:spacing w:after="240"/>
        <w:ind w:left="2160" w:hanging="2160"/>
        <w:jc w:val="both"/>
        <w:rPr>
          <w:rFonts w:ascii="Times New Roman" w:hAnsi="Times New Roman" w:cs="Times New Roman"/>
        </w:rPr>
      </w:pPr>
      <w:r w:rsidRPr="00777C4E">
        <w:rPr>
          <w:rFonts w:ascii="Times New Roman" w:hAnsi="Times New Roman" w:cs="Times New Roman"/>
        </w:rPr>
        <w:tab/>
        <w:t>(a)</w:t>
      </w:r>
      <w:r>
        <w:rPr>
          <w:rFonts w:ascii="Times New Roman" w:hAnsi="Times New Roman" w:cs="Times New Roman"/>
        </w:rPr>
        <w:tab/>
      </w:r>
      <w:r w:rsidRPr="00A50F25">
        <w:rPr>
          <w:rFonts w:ascii="Times New Roman" w:hAnsi="Times New Roman" w:cs="Times New Roman"/>
          <w:i/>
        </w:rPr>
        <w:t>Demand related</w:t>
      </w:r>
      <w:r w:rsidRPr="00777C4E">
        <w:rPr>
          <w:rFonts w:ascii="Times New Roman" w:hAnsi="Times New Roman" w:cs="Times New Roman"/>
        </w:rPr>
        <w:t xml:space="preserve">:  </w:t>
      </w:r>
      <w:r w:rsidR="0025736F">
        <w:rPr>
          <w:rFonts w:ascii="Times New Roman" w:hAnsi="Times New Roman" w:cs="Times New Roman"/>
        </w:rPr>
        <w:t>C</w:t>
      </w:r>
      <w:r w:rsidR="007F49B7" w:rsidRPr="00777C4E">
        <w:rPr>
          <w:rFonts w:ascii="Times New Roman" w:hAnsi="Times New Roman" w:cs="Times New Roman"/>
        </w:rPr>
        <w:t xml:space="preserve">osts </w:t>
      </w:r>
      <w:r w:rsidRPr="00777C4E">
        <w:rPr>
          <w:rFonts w:ascii="Times New Roman" w:hAnsi="Times New Roman" w:cs="Times New Roman"/>
        </w:rPr>
        <w:t xml:space="preserve">that are incurred </w:t>
      </w:r>
      <w:r w:rsidR="007F49B7" w:rsidRPr="00795928">
        <w:rPr>
          <w:rFonts w:ascii="Times New Roman" w:hAnsi="Times New Roman" w:cs="Times New Roman"/>
        </w:rPr>
        <w:t>to serve customers’ peak requirements for electricity</w:t>
      </w:r>
      <w:r w:rsidR="007F49B7" w:rsidRPr="00230CF4">
        <w:rPr>
          <w:rFonts w:ascii="Times New Roman" w:hAnsi="Times New Roman" w:cs="Times New Roman"/>
        </w:rPr>
        <w:t>.</w:t>
      </w:r>
      <w:r w:rsidR="007F49B7">
        <w:t xml:space="preserve"> </w:t>
      </w:r>
      <w:r w:rsidR="007F49B7" w:rsidDel="007F49B7">
        <w:rPr>
          <w:rFonts w:ascii="Times New Roman" w:hAnsi="Times New Roman" w:cs="Times New Roman"/>
        </w:rPr>
        <w:t xml:space="preserve"> </w:t>
      </w:r>
      <w:r w:rsidRPr="00777C4E">
        <w:rPr>
          <w:rFonts w:ascii="Times New Roman" w:hAnsi="Times New Roman" w:cs="Times New Roman"/>
        </w:rPr>
        <w:t xml:space="preserve">This generally refers to costs incurred by the utility </w:t>
      </w:r>
      <w:r w:rsidR="00F072C2" w:rsidRPr="00777C4E">
        <w:rPr>
          <w:rFonts w:ascii="Times New Roman" w:hAnsi="Times New Roman" w:cs="Times New Roman"/>
        </w:rPr>
        <w:t>to</w:t>
      </w:r>
      <w:r w:rsidRPr="00777C4E">
        <w:rPr>
          <w:rFonts w:ascii="Times New Roman" w:hAnsi="Times New Roman" w:cs="Times New Roman"/>
        </w:rPr>
        <w:t xml:space="preserve"> provide the capacity necessary to serve the customers’ peak </w:t>
      </w:r>
      <w:r w:rsidR="00F072C2">
        <w:rPr>
          <w:rFonts w:ascii="Times New Roman" w:hAnsi="Times New Roman" w:cs="Times New Roman"/>
        </w:rPr>
        <w:t xml:space="preserve">kilowatt (kW) </w:t>
      </w:r>
      <w:r w:rsidRPr="00777C4E">
        <w:rPr>
          <w:rFonts w:ascii="Times New Roman" w:hAnsi="Times New Roman" w:cs="Times New Roman"/>
        </w:rPr>
        <w:t>load</w:t>
      </w:r>
      <w:r w:rsidR="00F072C2">
        <w:rPr>
          <w:rFonts w:ascii="Times New Roman" w:hAnsi="Times New Roman" w:cs="Times New Roman"/>
        </w:rPr>
        <w:t>s</w:t>
      </w:r>
      <w:r w:rsidRPr="00777C4E">
        <w:rPr>
          <w:rFonts w:ascii="Times New Roman" w:hAnsi="Times New Roman" w:cs="Times New Roman"/>
        </w:rPr>
        <w:t xml:space="preserve"> </w:t>
      </w:r>
      <w:r w:rsidR="00CD5DFC">
        <w:rPr>
          <w:rFonts w:ascii="Times New Roman" w:hAnsi="Times New Roman" w:cs="Times New Roman"/>
        </w:rPr>
        <w:t xml:space="preserve">(demands) </w:t>
      </w:r>
      <w:r w:rsidRPr="00777C4E">
        <w:rPr>
          <w:rFonts w:ascii="Times New Roman" w:hAnsi="Times New Roman" w:cs="Times New Roman"/>
        </w:rPr>
        <w:t>throughout the year.</w:t>
      </w:r>
      <w:r w:rsidR="005C4596">
        <w:rPr>
          <w:rFonts w:ascii="Times New Roman" w:hAnsi="Times New Roman" w:cs="Times New Roman"/>
        </w:rPr>
        <w:t xml:space="preserve">  </w:t>
      </w:r>
      <w:bookmarkStart w:id="3" w:name="_Hlk11223005"/>
      <w:r w:rsidR="005C4596">
        <w:rPr>
          <w:rFonts w:ascii="Times New Roman" w:hAnsi="Times New Roman" w:cs="Times New Roman"/>
        </w:rPr>
        <w:t>Demand-related costs are classified at Levels A through G.</w:t>
      </w:r>
      <w:bookmarkEnd w:id="3"/>
    </w:p>
    <w:p w:rsidR="00B1115C" w:rsidRDefault="00B1115C" w:rsidP="00230CF4">
      <w:pPr>
        <w:pStyle w:val="SingleSpacing"/>
        <w:tabs>
          <w:tab w:val="left" w:pos="1440"/>
        </w:tabs>
        <w:spacing w:after="240"/>
        <w:ind w:left="2160" w:hanging="2160"/>
        <w:jc w:val="both"/>
        <w:rPr>
          <w:rFonts w:ascii="Times New Roman" w:hAnsi="Times New Roman" w:cs="Times New Roman"/>
        </w:rPr>
      </w:pPr>
      <w:r>
        <w:rPr>
          <w:rFonts w:ascii="Times New Roman" w:hAnsi="Times New Roman" w:cs="Times New Roman"/>
        </w:rPr>
        <w:tab/>
      </w:r>
      <w:r w:rsidRPr="00777C4E">
        <w:rPr>
          <w:rFonts w:ascii="Times New Roman" w:hAnsi="Times New Roman" w:cs="Times New Roman"/>
        </w:rPr>
        <w:t>(b)</w:t>
      </w:r>
      <w:r>
        <w:rPr>
          <w:rFonts w:ascii="Times New Roman" w:hAnsi="Times New Roman" w:cs="Times New Roman"/>
        </w:rPr>
        <w:tab/>
      </w:r>
      <w:r w:rsidRPr="00A50F25">
        <w:rPr>
          <w:rFonts w:ascii="Times New Roman" w:hAnsi="Times New Roman" w:cs="Times New Roman"/>
          <w:i/>
        </w:rPr>
        <w:t>Energy related</w:t>
      </w:r>
      <w:r w:rsidRPr="00777C4E">
        <w:rPr>
          <w:rFonts w:ascii="Times New Roman" w:hAnsi="Times New Roman" w:cs="Times New Roman"/>
        </w:rPr>
        <w:t xml:space="preserve">:  </w:t>
      </w:r>
      <w:r w:rsidR="00F072C2">
        <w:rPr>
          <w:rFonts w:ascii="Times New Roman" w:hAnsi="Times New Roman" w:cs="Times New Roman"/>
        </w:rPr>
        <w:t>C</w:t>
      </w:r>
      <w:r w:rsidRPr="00777C4E">
        <w:rPr>
          <w:rFonts w:ascii="Times New Roman" w:hAnsi="Times New Roman" w:cs="Times New Roman"/>
        </w:rPr>
        <w:t xml:space="preserve">osts that vary with the amount of energy </w:t>
      </w:r>
      <w:r w:rsidR="00CD5DFC">
        <w:rPr>
          <w:rFonts w:ascii="Times New Roman" w:hAnsi="Times New Roman" w:cs="Times New Roman"/>
        </w:rPr>
        <w:t>utilized</w:t>
      </w:r>
      <w:r w:rsidR="00CD5DFC" w:rsidRPr="00777C4E">
        <w:rPr>
          <w:rFonts w:ascii="Times New Roman" w:hAnsi="Times New Roman" w:cs="Times New Roman"/>
        </w:rPr>
        <w:t xml:space="preserve"> </w:t>
      </w:r>
      <w:r w:rsidRPr="00777C4E">
        <w:rPr>
          <w:rFonts w:ascii="Times New Roman" w:hAnsi="Times New Roman" w:cs="Times New Roman"/>
        </w:rPr>
        <w:t xml:space="preserve">by the customer.  </w:t>
      </w:r>
      <w:r w:rsidR="00F072C2">
        <w:rPr>
          <w:rFonts w:ascii="Times New Roman" w:hAnsi="Times New Roman" w:cs="Times New Roman"/>
        </w:rPr>
        <w:t>These</w:t>
      </w:r>
      <w:r w:rsidRPr="00777C4E">
        <w:rPr>
          <w:rFonts w:ascii="Times New Roman" w:hAnsi="Times New Roman" w:cs="Times New Roman"/>
        </w:rPr>
        <w:t xml:space="preserve"> costs </w:t>
      </w:r>
      <w:r w:rsidR="00F072C2">
        <w:rPr>
          <w:rFonts w:ascii="Times New Roman" w:hAnsi="Times New Roman" w:cs="Times New Roman"/>
        </w:rPr>
        <w:t>are comprised primarily of</w:t>
      </w:r>
      <w:r w:rsidRPr="00777C4E">
        <w:rPr>
          <w:rFonts w:ascii="Times New Roman" w:hAnsi="Times New Roman" w:cs="Times New Roman"/>
        </w:rPr>
        <w:t xml:space="preserve"> </w:t>
      </w:r>
      <w:r w:rsidR="00F072C2">
        <w:rPr>
          <w:rFonts w:ascii="Times New Roman" w:hAnsi="Times New Roman" w:cs="Times New Roman"/>
        </w:rPr>
        <w:t xml:space="preserve">production </w:t>
      </w:r>
      <w:r w:rsidRPr="00777C4E">
        <w:rPr>
          <w:rFonts w:ascii="Times New Roman" w:hAnsi="Times New Roman" w:cs="Times New Roman"/>
        </w:rPr>
        <w:t xml:space="preserve">fuel and variable operations and maintenance </w:t>
      </w:r>
      <w:r w:rsidR="00F072C2">
        <w:rPr>
          <w:rFonts w:ascii="Times New Roman" w:hAnsi="Times New Roman" w:cs="Times New Roman"/>
        </w:rPr>
        <w:t xml:space="preserve">(VO&amp;M) </w:t>
      </w:r>
      <w:r w:rsidRPr="00777C4E">
        <w:rPr>
          <w:rFonts w:ascii="Times New Roman" w:hAnsi="Times New Roman" w:cs="Times New Roman"/>
        </w:rPr>
        <w:t>expenses</w:t>
      </w:r>
      <w:r w:rsidR="00F072C2">
        <w:rPr>
          <w:rFonts w:ascii="Times New Roman" w:hAnsi="Times New Roman" w:cs="Times New Roman"/>
        </w:rPr>
        <w:t>,</w:t>
      </w:r>
      <w:r w:rsidRPr="00777C4E">
        <w:rPr>
          <w:rFonts w:ascii="Times New Roman" w:hAnsi="Times New Roman" w:cs="Times New Roman"/>
        </w:rPr>
        <w:t xml:space="preserve"> which vary </w:t>
      </w:r>
      <w:r w:rsidRPr="00777C4E">
        <w:rPr>
          <w:rFonts w:ascii="Times New Roman" w:hAnsi="Times New Roman" w:cs="Times New Roman"/>
        </w:rPr>
        <w:lastRenderedPageBreak/>
        <w:t>with the kilowatt-hours (kWh) consumed by the customers.</w:t>
      </w:r>
      <w:r w:rsidR="005C4596">
        <w:rPr>
          <w:rFonts w:ascii="Times New Roman" w:hAnsi="Times New Roman" w:cs="Times New Roman"/>
        </w:rPr>
        <w:t xml:space="preserve">  </w:t>
      </w:r>
      <w:bookmarkStart w:id="4" w:name="_Hlk11223016"/>
      <w:r w:rsidR="005C4596">
        <w:rPr>
          <w:rFonts w:ascii="Times New Roman" w:hAnsi="Times New Roman" w:cs="Times New Roman"/>
        </w:rPr>
        <w:t>Energy-related costs are classified at Level A.</w:t>
      </w:r>
      <w:bookmarkEnd w:id="4"/>
    </w:p>
    <w:p w:rsidR="00F97334" w:rsidRDefault="00B1115C" w:rsidP="00230CF4">
      <w:pPr>
        <w:pStyle w:val="SingleSpacing"/>
        <w:tabs>
          <w:tab w:val="left" w:pos="1440"/>
        </w:tabs>
        <w:spacing w:after="240"/>
        <w:ind w:left="2160" w:hanging="2160"/>
        <w:jc w:val="both"/>
        <w:rPr>
          <w:rFonts w:ascii="Times New Roman" w:hAnsi="Times New Roman" w:cs="Times New Roman"/>
        </w:rPr>
      </w:pPr>
      <w:r w:rsidRPr="00777C4E">
        <w:rPr>
          <w:rFonts w:ascii="Times New Roman" w:hAnsi="Times New Roman" w:cs="Times New Roman"/>
        </w:rPr>
        <w:tab/>
        <w:t>(c)</w:t>
      </w:r>
      <w:r>
        <w:rPr>
          <w:rFonts w:ascii="Times New Roman" w:hAnsi="Times New Roman" w:cs="Times New Roman"/>
        </w:rPr>
        <w:tab/>
      </w:r>
      <w:r w:rsidRPr="00A50F25">
        <w:rPr>
          <w:rFonts w:ascii="Times New Roman" w:hAnsi="Times New Roman" w:cs="Times New Roman"/>
          <w:i/>
        </w:rPr>
        <w:t>Customer related</w:t>
      </w:r>
      <w:r w:rsidRPr="00777C4E">
        <w:rPr>
          <w:rFonts w:ascii="Times New Roman" w:hAnsi="Times New Roman" w:cs="Times New Roman"/>
        </w:rPr>
        <w:t xml:space="preserve">:  </w:t>
      </w:r>
      <w:r w:rsidR="00230CF4">
        <w:rPr>
          <w:rFonts w:ascii="Times New Roman" w:hAnsi="Times New Roman" w:cs="Times New Roman"/>
        </w:rPr>
        <w:t>C</w:t>
      </w:r>
      <w:r w:rsidR="007F49B7" w:rsidRPr="00777C4E">
        <w:rPr>
          <w:rFonts w:ascii="Times New Roman" w:hAnsi="Times New Roman" w:cs="Times New Roman"/>
        </w:rPr>
        <w:t xml:space="preserve">osts </w:t>
      </w:r>
      <w:r w:rsidRPr="00777C4E">
        <w:rPr>
          <w:rFonts w:ascii="Times New Roman" w:hAnsi="Times New Roman" w:cs="Times New Roman"/>
        </w:rPr>
        <w:t xml:space="preserve">that </w:t>
      </w:r>
      <w:r w:rsidR="00F072C2">
        <w:rPr>
          <w:rFonts w:ascii="Times New Roman" w:hAnsi="Times New Roman" w:cs="Times New Roman"/>
        </w:rPr>
        <w:t xml:space="preserve">are independent of </w:t>
      </w:r>
      <w:r w:rsidR="00B137E5">
        <w:rPr>
          <w:rFonts w:ascii="Times New Roman" w:hAnsi="Times New Roman" w:cs="Times New Roman"/>
        </w:rPr>
        <w:t>customers</w:t>
      </w:r>
      <w:r w:rsidR="00F072C2">
        <w:rPr>
          <w:rFonts w:ascii="Times New Roman" w:hAnsi="Times New Roman" w:cs="Times New Roman"/>
        </w:rPr>
        <w:t xml:space="preserve">’ </w:t>
      </w:r>
      <w:r w:rsidR="00B137E5">
        <w:rPr>
          <w:rFonts w:ascii="Times New Roman" w:hAnsi="Times New Roman" w:cs="Times New Roman"/>
        </w:rPr>
        <w:t>kW and kWh consumption</w:t>
      </w:r>
      <w:r w:rsidR="00CD5DFC">
        <w:rPr>
          <w:rFonts w:ascii="Times New Roman" w:hAnsi="Times New Roman" w:cs="Times New Roman"/>
        </w:rPr>
        <w:t xml:space="preserve">. Many </w:t>
      </w:r>
      <w:r w:rsidR="00B137E5">
        <w:rPr>
          <w:rFonts w:ascii="Times New Roman" w:hAnsi="Times New Roman" w:cs="Times New Roman"/>
        </w:rPr>
        <w:t xml:space="preserve">of </w:t>
      </w:r>
      <w:r w:rsidR="00CD5DFC">
        <w:rPr>
          <w:rFonts w:ascii="Times New Roman" w:hAnsi="Times New Roman" w:cs="Times New Roman"/>
        </w:rPr>
        <w:t xml:space="preserve">these costs </w:t>
      </w:r>
      <w:r w:rsidRPr="00777C4E">
        <w:rPr>
          <w:rFonts w:ascii="Times New Roman" w:hAnsi="Times New Roman" w:cs="Times New Roman"/>
        </w:rPr>
        <w:t xml:space="preserve">vary with the number of customers on the system.  This generally refers to the </w:t>
      </w:r>
      <w:r w:rsidR="00ED13E1">
        <w:rPr>
          <w:rFonts w:ascii="Times New Roman" w:hAnsi="Times New Roman" w:cs="Times New Roman"/>
        </w:rPr>
        <w:t xml:space="preserve">basic </w:t>
      </w:r>
      <w:r w:rsidRPr="00777C4E">
        <w:rPr>
          <w:rFonts w:ascii="Times New Roman" w:hAnsi="Times New Roman" w:cs="Times New Roman"/>
        </w:rPr>
        <w:t xml:space="preserve">costs incurred by the utility to attach a customer to the </w:t>
      </w:r>
      <w:r w:rsidR="00F60616" w:rsidRPr="00777C4E">
        <w:rPr>
          <w:rFonts w:ascii="Times New Roman" w:hAnsi="Times New Roman" w:cs="Times New Roman"/>
        </w:rPr>
        <w:t>distribution system</w:t>
      </w:r>
      <w:r w:rsidR="00F60616">
        <w:rPr>
          <w:rFonts w:ascii="Times New Roman" w:hAnsi="Times New Roman" w:cs="Times New Roman"/>
        </w:rPr>
        <w:t>, which includes metering, service lines, a portion of the system known as the Minimum Distribution System,</w:t>
      </w:r>
      <w:r w:rsidR="00F60616" w:rsidRPr="00777C4E">
        <w:rPr>
          <w:rFonts w:ascii="Times New Roman" w:hAnsi="Times New Roman" w:cs="Times New Roman"/>
        </w:rPr>
        <w:t xml:space="preserve"> </w:t>
      </w:r>
      <w:r w:rsidR="00F60616">
        <w:rPr>
          <w:rFonts w:ascii="Times New Roman" w:hAnsi="Times New Roman" w:cs="Times New Roman"/>
        </w:rPr>
        <w:t>along with</w:t>
      </w:r>
      <w:r w:rsidR="00ED13E1" w:rsidRPr="00777C4E">
        <w:rPr>
          <w:rFonts w:ascii="Times New Roman" w:hAnsi="Times New Roman" w:cs="Times New Roman"/>
        </w:rPr>
        <w:t xml:space="preserve"> customer billing and certain administrative costs</w:t>
      </w:r>
      <w:r w:rsidR="00F60616">
        <w:rPr>
          <w:rFonts w:ascii="Times New Roman" w:hAnsi="Times New Roman" w:cs="Times New Roman"/>
        </w:rPr>
        <w:t>.</w:t>
      </w:r>
      <w:r w:rsidR="00ED13E1" w:rsidRPr="00777C4E">
        <w:rPr>
          <w:rFonts w:ascii="Times New Roman" w:hAnsi="Times New Roman" w:cs="Times New Roman"/>
        </w:rPr>
        <w:t xml:space="preserve"> </w:t>
      </w:r>
      <w:r w:rsidR="00F60616">
        <w:rPr>
          <w:rFonts w:ascii="Times New Roman" w:hAnsi="Times New Roman" w:cs="Times New Roman"/>
        </w:rPr>
        <w:t xml:space="preserve"> The Minimum Distribution System is discussed below.</w:t>
      </w:r>
      <w:r w:rsidR="005C4596">
        <w:rPr>
          <w:rFonts w:ascii="Times New Roman" w:hAnsi="Times New Roman" w:cs="Times New Roman"/>
        </w:rPr>
        <w:t xml:space="preserve">  </w:t>
      </w:r>
      <w:bookmarkStart w:id="5" w:name="_Hlk11223035"/>
      <w:r w:rsidR="005C4596">
        <w:rPr>
          <w:rFonts w:ascii="Times New Roman" w:hAnsi="Times New Roman" w:cs="Times New Roman"/>
        </w:rPr>
        <w:t>Customer-related costs are classified at Levels F and G.</w:t>
      </w:r>
    </w:p>
    <w:bookmarkEnd w:id="5"/>
    <w:p w:rsidR="00B1115C" w:rsidRDefault="00B1115C" w:rsidP="00230CF4">
      <w:pPr>
        <w:pStyle w:val="SingleSpacing"/>
        <w:tabs>
          <w:tab w:val="left" w:pos="720"/>
        </w:tabs>
        <w:spacing w:after="240"/>
        <w:ind w:left="1440" w:hanging="1440"/>
        <w:jc w:val="both"/>
        <w:rPr>
          <w:rFonts w:ascii="Times New Roman" w:hAnsi="Times New Roman" w:cs="Times New Roman"/>
        </w:rPr>
      </w:pPr>
      <w:r>
        <w:rPr>
          <w:rFonts w:ascii="Times New Roman" w:hAnsi="Times New Roman" w:cs="Times New Roman"/>
        </w:rPr>
        <w:tab/>
      </w:r>
      <w:r w:rsidRPr="00777C4E">
        <w:rPr>
          <w:rFonts w:ascii="Times New Roman" w:hAnsi="Times New Roman" w:cs="Times New Roman"/>
        </w:rPr>
        <w:t>(4)</w:t>
      </w:r>
      <w:r>
        <w:rPr>
          <w:rFonts w:ascii="Times New Roman" w:hAnsi="Times New Roman" w:cs="Times New Roman"/>
        </w:rPr>
        <w:tab/>
      </w:r>
      <w:r w:rsidRPr="00230CF4">
        <w:rPr>
          <w:rFonts w:ascii="Times New Roman" w:hAnsi="Times New Roman" w:cs="Times New Roman"/>
          <w:i/>
        </w:rPr>
        <w:t>Direct assignment</w:t>
      </w:r>
      <w:r w:rsidR="00B137E5">
        <w:rPr>
          <w:rFonts w:ascii="Times New Roman" w:hAnsi="Times New Roman" w:cs="Times New Roman"/>
        </w:rPr>
        <w:t xml:space="preserve"> </w:t>
      </w:r>
      <w:r w:rsidRPr="00777C4E">
        <w:rPr>
          <w:rFonts w:ascii="Times New Roman" w:hAnsi="Times New Roman" w:cs="Times New Roman"/>
        </w:rPr>
        <w:t>associat</w:t>
      </w:r>
      <w:r w:rsidR="00B137E5">
        <w:rPr>
          <w:rFonts w:ascii="Times New Roman" w:hAnsi="Times New Roman" w:cs="Times New Roman"/>
        </w:rPr>
        <w:t>es</w:t>
      </w:r>
      <w:r w:rsidRPr="00777C4E">
        <w:rPr>
          <w:rFonts w:ascii="Times New Roman" w:hAnsi="Times New Roman" w:cs="Times New Roman"/>
        </w:rPr>
        <w:t xml:space="preserve"> specific cost</w:t>
      </w:r>
      <w:r w:rsidR="00F06900">
        <w:rPr>
          <w:rFonts w:ascii="Times New Roman" w:hAnsi="Times New Roman" w:cs="Times New Roman"/>
        </w:rPr>
        <w:t>s</w:t>
      </w:r>
      <w:r w:rsidRPr="00777C4E">
        <w:rPr>
          <w:rFonts w:ascii="Times New Roman" w:hAnsi="Times New Roman" w:cs="Times New Roman"/>
        </w:rPr>
        <w:t xml:space="preserve"> and revenues with specific customers or rate groups.</w:t>
      </w:r>
    </w:p>
    <w:p w:rsidR="00B1115C" w:rsidRDefault="00B1115C" w:rsidP="00230CF4">
      <w:pPr>
        <w:pStyle w:val="SingleSpacing"/>
        <w:tabs>
          <w:tab w:val="left" w:pos="720"/>
        </w:tabs>
        <w:spacing w:after="240"/>
        <w:ind w:left="1440" w:hanging="1440"/>
        <w:jc w:val="both"/>
        <w:rPr>
          <w:rFonts w:ascii="Times New Roman" w:hAnsi="Times New Roman" w:cs="Times New Roman"/>
        </w:rPr>
      </w:pPr>
      <w:r>
        <w:rPr>
          <w:rFonts w:ascii="Times New Roman" w:hAnsi="Times New Roman" w:cs="Times New Roman"/>
        </w:rPr>
        <w:tab/>
      </w:r>
      <w:r w:rsidRPr="00777C4E">
        <w:rPr>
          <w:rFonts w:ascii="Times New Roman" w:hAnsi="Times New Roman" w:cs="Times New Roman"/>
        </w:rPr>
        <w:t>(5)</w:t>
      </w:r>
      <w:r>
        <w:rPr>
          <w:rFonts w:ascii="Times New Roman" w:hAnsi="Times New Roman" w:cs="Times New Roman"/>
        </w:rPr>
        <w:tab/>
      </w:r>
      <w:r w:rsidRPr="00230CF4">
        <w:rPr>
          <w:rFonts w:ascii="Times New Roman" w:hAnsi="Times New Roman" w:cs="Times New Roman"/>
          <w:i/>
        </w:rPr>
        <w:t>Allocation</w:t>
      </w:r>
      <w:r w:rsidRPr="00777C4E">
        <w:rPr>
          <w:rFonts w:ascii="Times New Roman" w:hAnsi="Times New Roman" w:cs="Times New Roman"/>
        </w:rPr>
        <w:t xml:space="preserve"> </w:t>
      </w:r>
      <w:r w:rsidR="002D0E59">
        <w:rPr>
          <w:rFonts w:ascii="Times New Roman" w:hAnsi="Times New Roman" w:cs="Times New Roman"/>
        </w:rPr>
        <w:t>apportion</w:t>
      </w:r>
      <w:r w:rsidR="00B137E5">
        <w:rPr>
          <w:rFonts w:ascii="Times New Roman" w:hAnsi="Times New Roman" w:cs="Times New Roman"/>
        </w:rPr>
        <w:t xml:space="preserve">s </w:t>
      </w:r>
      <w:r w:rsidR="00F06900">
        <w:rPr>
          <w:rFonts w:ascii="Times New Roman" w:hAnsi="Times New Roman" w:cs="Times New Roman"/>
        </w:rPr>
        <w:t xml:space="preserve">the </w:t>
      </w:r>
      <w:r w:rsidRPr="00777C4E">
        <w:rPr>
          <w:rFonts w:ascii="Times New Roman" w:hAnsi="Times New Roman" w:cs="Times New Roman"/>
        </w:rPr>
        <w:t xml:space="preserve">common costs </w:t>
      </w:r>
      <w:r w:rsidR="00F06900">
        <w:rPr>
          <w:rFonts w:ascii="Times New Roman" w:hAnsi="Times New Roman" w:cs="Times New Roman"/>
        </w:rPr>
        <w:t xml:space="preserve">of service </w:t>
      </w:r>
      <w:r w:rsidRPr="00777C4E">
        <w:rPr>
          <w:rFonts w:ascii="Times New Roman" w:hAnsi="Times New Roman" w:cs="Times New Roman"/>
        </w:rPr>
        <w:t>among rate groups.</w:t>
      </w:r>
    </w:p>
    <w:p w:rsidR="00ED13E1" w:rsidRDefault="002A71C3" w:rsidP="00ED13E1">
      <w:pPr>
        <w:pStyle w:val="SingleSpacing"/>
        <w:keepNext/>
        <w:keepLines/>
        <w:widowControl w:val="0"/>
        <w:tabs>
          <w:tab w:val="left" w:pos="720"/>
        </w:tabs>
        <w:spacing w:after="240" w:line="480" w:lineRule="exact"/>
        <w:ind w:left="744" w:hanging="744"/>
        <w:jc w:val="center"/>
        <w:rPr>
          <w:rFonts w:ascii="Times New Roman" w:hAnsi="Times New Roman" w:cs="Times New Roman"/>
          <w:b/>
          <w:u w:val="single"/>
        </w:rPr>
      </w:pPr>
      <w:r>
        <w:rPr>
          <w:rFonts w:ascii="Times New Roman" w:hAnsi="Times New Roman" w:cs="Times New Roman"/>
          <w:b/>
          <w:u w:val="single"/>
        </w:rPr>
        <w:t xml:space="preserve">COST CLASSIFICATION OF THE </w:t>
      </w:r>
      <w:r w:rsidR="00ED13E1">
        <w:rPr>
          <w:rFonts w:ascii="Times New Roman" w:hAnsi="Times New Roman" w:cs="Times New Roman"/>
          <w:b/>
          <w:u w:val="single"/>
        </w:rPr>
        <w:t>DISTR</w:t>
      </w:r>
      <w:r w:rsidR="00230CF4">
        <w:rPr>
          <w:rFonts w:ascii="Times New Roman" w:hAnsi="Times New Roman" w:cs="Times New Roman"/>
          <w:b/>
          <w:u w:val="single"/>
        </w:rPr>
        <w:t>I</w:t>
      </w:r>
      <w:r w:rsidR="00ED13E1">
        <w:rPr>
          <w:rFonts w:ascii="Times New Roman" w:hAnsi="Times New Roman" w:cs="Times New Roman"/>
          <w:b/>
          <w:u w:val="single"/>
        </w:rPr>
        <w:t>BUTION SYSTEM</w:t>
      </w:r>
    </w:p>
    <w:p w:rsidR="00ED13E1" w:rsidRDefault="00ED13E1" w:rsidP="009B21F2">
      <w:pPr>
        <w:pStyle w:val="Question"/>
        <w:keepNext/>
        <w:keepLines/>
        <w:tabs>
          <w:tab w:val="clear" w:pos="360"/>
          <w:tab w:val="clear" w:pos="720"/>
        </w:tabs>
        <w:spacing w:after="240"/>
      </w:pPr>
      <w:r>
        <w:t>PLEASE DESCRIBE WHAT IS MEANT BY A MINIMUM DISTRIBUTION SYSTEM?</w:t>
      </w:r>
    </w:p>
    <w:p w:rsidR="00ED13E1" w:rsidRDefault="00F60616" w:rsidP="00230CF4">
      <w:pPr>
        <w:pStyle w:val="Answer"/>
        <w:tabs>
          <w:tab w:val="num" w:pos="720"/>
        </w:tabs>
        <w:ind w:left="720"/>
      </w:pPr>
      <w:bookmarkStart w:id="6" w:name="_Hlk11223147"/>
      <w:r>
        <w:t xml:space="preserve">The Minimum Distribution System (“MDS”) is </w:t>
      </w:r>
      <w:r w:rsidR="001E7673">
        <w:t>th</w:t>
      </w:r>
      <w:r w:rsidR="00386A41">
        <w:t>at</w:t>
      </w:r>
      <w:r>
        <w:t xml:space="preserve"> portion of the</w:t>
      </w:r>
      <w:r w:rsidR="007002F0">
        <w:t xml:space="preserve"> total</w:t>
      </w:r>
      <w:r>
        <w:t xml:space="preserve"> </w:t>
      </w:r>
      <w:r w:rsidR="001E7673">
        <w:t xml:space="preserve">costs of </w:t>
      </w:r>
      <w:r w:rsidR="00C132CD">
        <w:t>facilities</w:t>
      </w:r>
      <w:r>
        <w:t xml:space="preserve"> that make up the primary voltage </w:t>
      </w:r>
      <w:r w:rsidR="005A274A">
        <w:t>lines, the line transformers, and the secondary voltage lines</w:t>
      </w:r>
      <w:r w:rsidR="00C132CD">
        <w:t>,</w:t>
      </w:r>
      <w:r w:rsidR="001E7673">
        <w:t xml:space="preserve"> </w:t>
      </w:r>
      <w:r w:rsidR="00C132CD">
        <w:t>which</w:t>
      </w:r>
      <w:r w:rsidR="001E7673">
        <w:t xml:space="preserve"> </w:t>
      </w:r>
      <w:r w:rsidR="007002F0">
        <w:t>is</w:t>
      </w:r>
      <w:r w:rsidR="001E7673">
        <w:t xml:space="preserve"> independent of customers’ load requirements.</w:t>
      </w:r>
      <w:r w:rsidR="005A274A">
        <w:t xml:space="preserve">  </w:t>
      </w:r>
      <w:bookmarkEnd w:id="6"/>
      <w:r w:rsidR="00251586">
        <w:t xml:space="preserve">An MDS study separates the costs of these distribution facilities into their respective demand-related cost components and customer-related cost components on the basis of cost causation.  </w:t>
      </w:r>
    </w:p>
    <w:p w:rsidR="002275E7" w:rsidRDefault="002275E7" w:rsidP="002275E7">
      <w:pPr>
        <w:pStyle w:val="Answer"/>
        <w:numPr>
          <w:ilvl w:val="0"/>
          <w:numId w:val="0"/>
        </w:numPr>
        <w:ind w:left="720"/>
      </w:pPr>
    </w:p>
    <w:p w:rsidR="00386A41" w:rsidRPr="00333A83" w:rsidRDefault="00386A41" w:rsidP="002275E7">
      <w:pPr>
        <w:pStyle w:val="Answer"/>
        <w:numPr>
          <w:ilvl w:val="0"/>
          <w:numId w:val="0"/>
        </w:numPr>
        <w:spacing w:after="240"/>
        <w:ind w:left="720"/>
      </w:pPr>
      <w:r>
        <w:t>MDS represents the readiness to serve a customer</w:t>
      </w:r>
      <w:r w:rsidR="004938DA">
        <w:t xml:space="preserve">, not the capacity needed to meet a customer’s </w:t>
      </w:r>
      <w:r w:rsidR="00600CD5">
        <w:t xml:space="preserve">peak demand </w:t>
      </w:r>
      <w:r w:rsidR="004938DA">
        <w:t>requirements</w:t>
      </w:r>
      <w:r>
        <w:t xml:space="preserve">.  MDS is </w:t>
      </w:r>
      <w:r w:rsidR="004938DA">
        <w:t xml:space="preserve">only </w:t>
      </w:r>
      <w:r>
        <w:t>about providing a</w:t>
      </w:r>
      <w:r w:rsidR="00F6716E">
        <w:t>n appropriate</w:t>
      </w:r>
      <w:r>
        <w:t xml:space="preserve"> </w:t>
      </w:r>
      <w:r w:rsidR="00F6716E">
        <w:t xml:space="preserve">utilization </w:t>
      </w:r>
      <w:r>
        <w:t>voltage at the point at which a customer connects to the distribution system</w:t>
      </w:r>
      <w:r w:rsidR="00F6716E">
        <w:t xml:space="preserve">, and costs are incurred to provide </w:t>
      </w:r>
      <w:r w:rsidR="004938DA">
        <w:t>a customer with such access</w:t>
      </w:r>
      <w:r w:rsidR="00F6716E">
        <w:t xml:space="preserve">.  </w:t>
      </w:r>
      <w:r w:rsidR="004938DA">
        <w:t>T</w:t>
      </w:r>
      <w:r w:rsidR="00F6716E">
        <w:t>he readiness to serve</w:t>
      </w:r>
      <w:r w:rsidR="004938DA">
        <w:t xml:space="preserve"> </w:t>
      </w:r>
      <w:r w:rsidR="00F6716E">
        <w:lastRenderedPageBreak/>
        <w:t xml:space="preserve">costs are independent of </w:t>
      </w:r>
      <w:r w:rsidR="004938DA">
        <w:t xml:space="preserve">how much electricity a customer consumes; thus, </w:t>
      </w:r>
      <w:r w:rsidR="00C132CD">
        <w:t>MDS</w:t>
      </w:r>
      <w:r w:rsidR="004938DA">
        <w:t xml:space="preserve"> costs are classified as customer-related cost components.</w:t>
      </w:r>
      <w:r>
        <w:t xml:space="preserve">  MDS does not represent the </w:t>
      </w:r>
      <w:r w:rsidR="00C132CD">
        <w:t xml:space="preserve">costs of </w:t>
      </w:r>
      <w:r>
        <w:t xml:space="preserve">capacity necessary to meet a customer’s peak load requirements.  </w:t>
      </w:r>
      <w:r w:rsidR="00C132CD">
        <w:t>That portion of the total costs of facilities that make up the primary voltage lines, the line transformers, and the secondary voltage lines that provide capacity to meet</w:t>
      </w:r>
      <w:r w:rsidR="00CE5167">
        <w:t xml:space="preserve"> customers’ peak load requirements </w:t>
      </w:r>
      <w:r w:rsidR="00C132CD">
        <w:t>is</w:t>
      </w:r>
      <w:r w:rsidR="00CE5167">
        <w:t xml:space="preserve"> classified as </w:t>
      </w:r>
      <w:r w:rsidR="004C0F1A">
        <w:t xml:space="preserve">a </w:t>
      </w:r>
      <w:r w:rsidR="00CE5167">
        <w:t>demand-related cost component.</w:t>
      </w:r>
    </w:p>
    <w:p w:rsidR="00ED13E1" w:rsidRDefault="00850CBD" w:rsidP="009B21F2">
      <w:pPr>
        <w:pStyle w:val="Question"/>
        <w:keepNext/>
        <w:keepLines/>
        <w:tabs>
          <w:tab w:val="clear" w:pos="360"/>
          <w:tab w:val="clear" w:pos="720"/>
        </w:tabs>
        <w:spacing w:after="240"/>
      </w:pPr>
      <w:r>
        <w:t>How is an MDS study performed?</w:t>
      </w:r>
    </w:p>
    <w:p w:rsidR="00850CBD" w:rsidRDefault="00790F1D" w:rsidP="00850CBD">
      <w:pPr>
        <w:pStyle w:val="Answer"/>
        <w:tabs>
          <w:tab w:val="num" w:pos="720"/>
        </w:tabs>
        <w:ind w:left="720"/>
      </w:pPr>
      <w:r>
        <w:t xml:space="preserve">Quantifying the costs of MDS is accomplished by evaluating the cost causation aspects of all distribution system facilities, including the primary and secondary lines, line transformers, and other distribution equipment.  This approach requires an understanding of the functional </w:t>
      </w:r>
      <w:r w:rsidR="00903F32">
        <w:t>application</w:t>
      </w:r>
      <w:r>
        <w:t xml:space="preserve"> of each distribution item.  In so doing, some </w:t>
      </w:r>
      <w:r w:rsidR="00903F32">
        <w:t>items are</w:t>
      </w:r>
      <w:r>
        <w:t xml:space="preserve"> found to be related to peak load requirements</w:t>
      </w:r>
      <w:r w:rsidR="00903F32">
        <w:t xml:space="preserve"> (</w:t>
      </w:r>
      <w:r w:rsidR="00D30EC3">
        <w:t xml:space="preserve">100% </w:t>
      </w:r>
      <w:r w:rsidR="00903F32">
        <w:t>demand related), some items are found to be independent of peak load requirements (</w:t>
      </w:r>
      <w:r w:rsidR="00D30EC3">
        <w:t xml:space="preserve">100% </w:t>
      </w:r>
      <w:r w:rsidR="00903F32">
        <w:t xml:space="preserve">customer related), and other items are found to be functionally associated with both readiness to serve and capacity. </w:t>
      </w:r>
      <w:bookmarkStart w:id="7" w:name="_Hlk11223192"/>
      <w:r w:rsidR="00903F32">
        <w:t xml:space="preserve"> The costs of items having attributes of both customer-related and demand-related functions must be analyzed in order to separate the total item cost into the two cost components.  These items include overhead conductors and poles, underground conductors and conduit, and </w:t>
      </w:r>
      <w:r w:rsidR="00DE5D3D">
        <w:t>overhead</w:t>
      </w:r>
      <w:r w:rsidR="00D30EC3">
        <w:t xml:space="preserve"> and padmount line transformers.  </w:t>
      </w:r>
      <w:bookmarkEnd w:id="7"/>
      <w:r w:rsidR="00522297">
        <w:t>They all provide</w:t>
      </w:r>
      <w:r w:rsidR="00533BAB">
        <w:t xml:space="preserve"> both</w:t>
      </w:r>
      <w:r w:rsidR="00522297">
        <w:t xml:space="preserve"> a readiness to serve </w:t>
      </w:r>
      <w:r w:rsidR="00DE5D3D">
        <w:t>function</w:t>
      </w:r>
      <w:r w:rsidR="00522297">
        <w:t xml:space="preserve"> and a capacity </w:t>
      </w:r>
      <w:r w:rsidR="00DE5D3D">
        <w:t>function</w:t>
      </w:r>
      <w:r w:rsidR="00522297">
        <w:t>.</w:t>
      </w:r>
    </w:p>
    <w:p w:rsidR="002275E7" w:rsidRDefault="002275E7">
      <w:pPr>
        <w:pStyle w:val="Answer"/>
        <w:numPr>
          <w:ilvl w:val="0"/>
          <w:numId w:val="0"/>
        </w:numPr>
        <w:ind w:left="720" w:firstLine="720"/>
      </w:pPr>
    </w:p>
    <w:p w:rsidR="00D30EC3" w:rsidRDefault="00D30EC3" w:rsidP="002275E7">
      <w:pPr>
        <w:pStyle w:val="Answer"/>
        <w:numPr>
          <w:ilvl w:val="0"/>
          <w:numId w:val="0"/>
        </w:numPr>
        <w:ind w:left="720"/>
      </w:pPr>
      <w:r>
        <w:t xml:space="preserve">To accomplish this cost separation, the Company applies a zero-intercept cost analysis for each of these distribution items.  </w:t>
      </w:r>
      <w:r w:rsidR="00533BAB">
        <w:t xml:space="preserve">The zero-intercept method is a linear regression analysis that relates a distribution item’s unit costs (dependent variable) to its associated capacity values (independent variable).  An example is shown below for single-phase </w:t>
      </w:r>
      <w:r w:rsidR="00054713">
        <w:t>overhead</w:t>
      </w:r>
      <w:r w:rsidR="00533BAB">
        <w:t xml:space="preserve"> line transformers.  </w:t>
      </w:r>
      <w:r w:rsidR="00054713">
        <w:t xml:space="preserve">The data plots represent the unit costs of transformers having standard size capacity ratings, i.e., 15, 25, 37.5, 50, 75, and 100 kVA.  </w:t>
      </w:r>
      <w:r w:rsidR="00533BAB">
        <w:t xml:space="preserve">The resulting regression line intersects the </w:t>
      </w:r>
      <w:r w:rsidR="00D31C00">
        <w:t>unit cost axis where the value of capacity is equal to zero, thus defining the per unit customer component cost</w:t>
      </w:r>
      <w:r w:rsidR="00054713">
        <w:t>, which is $635.16</w:t>
      </w:r>
      <w:r w:rsidR="00D31C00">
        <w:t xml:space="preserve">.  </w:t>
      </w:r>
      <w:r w:rsidR="00054713">
        <w:t xml:space="preserve">This </w:t>
      </w:r>
      <w:r w:rsidR="00054713">
        <w:lastRenderedPageBreak/>
        <w:t>zero-intercept value is multiplied by the total number of single-phase overhead transformers booked in FERC Account 368 in order to determine th</w:t>
      </w:r>
      <w:r w:rsidR="00C6190A">
        <w:t>at</w:t>
      </w:r>
      <w:r w:rsidR="00054713">
        <w:t xml:space="preserve"> amount of the </w:t>
      </w:r>
      <w:r w:rsidR="003962DF">
        <w:t xml:space="preserve">total cost of single-phase overhead transformers that is </w:t>
      </w:r>
      <w:r w:rsidR="00216623">
        <w:t xml:space="preserve">classified as </w:t>
      </w:r>
      <w:r w:rsidR="003962DF">
        <w:t xml:space="preserve">customer related.  </w:t>
      </w:r>
      <w:r w:rsidR="00216623">
        <w:t xml:space="preserve">The difference between the total cost of the transformers and the customer-related cost amount represents the demand-related transformer cost </w:t>
      </w:r>
      <w:r w:rsidR="00DE5D3D">
        <w:t>amount</w:t>
      </w:r>
      <w:r w:rsidR="00216623">
        <w:t xml:space="preserve">.   </w:t>
      </w:r>
    </w:p>
    <w:p w:rsidR="00C63D91" w:rsidRDefault="00333A83" w:rsidP="002275E7">
      <w:pPr>
        <w:pStyle w:val="Answer"/>
        <w:numPr>
          <w:ilvl w:val="0"/>
          <w:numId w:val="0"/>
        </w:numPr>
        <w:ind w:left="720"/>
      </w:pPr>
      <w:r>
        <w:rPr>
          <w:noProof/>
        </w:rPr>
        <w:drawing>
          <wp:inline distT="0" distB="0" distL="0" distR="0" wp14:anchorId="397F9795" wp14:editId="6EE70752">
            <wp:extent cx="5572125" cy="3267075"/>
            <wp:effectExtent l="0" t="0" r="9525" b="9525"/>
            <wp:docPr id="1" name="Chart 1">
              <a:extLst xmlns:a="http://schemas.openxmlformats.org/drawingml/2006/main">
                <a:ext uri="{FF2B5EF4-FFF2-40B4-BE49-F238E27FC236}">
                  <a16:creationId xmlns:a16="http://schemas.microsoft.com/office/drawing/2014/main" id="{D2997535-5606-4D54-AFAE-E0AF8E7513E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63D91" w:rsidRDefault="00C63D91">
      <w:pPr>
        <w:pStyle w:val="Answer"/>
        <w:numPr>
          <w:ilvl w:val="0"/>
          <w:numId w:val="0"/>
        </w:numPr>
        <w:ind w:left="720" w:firstLine="720"/>
      </w:pPr>
    </w:p>
    <w:p w:rsidR="00C63D91" w:rsidRDefault="00C6190A" w:rsidP="00F27741">
      <w:pPr>
        <w:pStyle w:val="Answer"/>
        <w:numPr>
          <w:ilvl w:val="0"/>
          <w:numId w:val="0"/>
        </w:numPr>
        <w:spacing w:after="240"/>
        <w:ind w:left="720"/>
      </w:pPr>
      <w:r>
        <w:t>Separate r</w:t>
      </w:r>
      <w:r w:rsidR="00D234FA">
        <w:t>egression analyses are also conducted for single-phase padmount transformers, three-phase padmount transformers, overhead conductors, underground conductors, and distribution poles</w:t>
      </w:r>
      <w:r w:rsidR="002A71C3">
        <w:t xml:space="preserve"> to separate the total costs of these items into their respective customer and demand cost components</w:t>
      </w:r>
      <w:r w:rsidR="00D234FA">
        <w:t>.</w:t>
      </w:r>
    </w:p>
    <w:p w:rsidR="005C4596" w:rsidRPr="00FF2DB8" w:rsidRDefault="00222BCD" w:rsidP="009B21F2">
      <w:pPr>
        <w:pStyle w:val="Question"/>
        <w:tabs>
          <w:tab w:val="clear" w:pos="360"/>
          <w:tab w:val="clear" w:pos="720"/>
        </w:tabs>
        <w:spacing w:after="240"/>
      </w:pPr>
      <w:r>
        <w:rPr>
          <w:b w:val="0"/>
        </w:rPr>
        <w:t xml:space="preserve">ASIDE FROM THE MDS EQUIPMENT YOU DISCUSSED, </w:t>
      </w:r>
      <w:r w:rsidR="005C4596">
        <w:rPr>
          <w:b w:val="0"/>
        </w:rPr>
        <w:t xml:space="preserve">HOW ARE OTHER DISTRIBUTION EQUIPMENT AND FACILITIES CLASSIFIED? </w:t>
      </w:r>
    </w:p>
    <w:p w:rsidR="00E9731E" w:rsidRDefault="00E9731E" w:rsidP="001A72BB">
      <w:pPr>
        <w:pStyle w:val="Answer"/>
        <w:numPr>
          <w:ilvl w:val="0"/>
          <w:numId w:val="13"/>
        </w:numPr>
        <w:ind w:hanging="720"/>
      </w:pPr>
      <w:bookmarkStart w:id="8" w:name="_Hlk11229224"/>
      <w:r>
        <w:t xml:space="preserve">Distribution property that is classified </w:t>
      </w:r>
      <w:r w:rsidR="00222BCD">
        <w:t xml:space="preserve">as </w:t>
      </w:r>
      <w:r>
        <w:t>100% demand-related components include voltage regulators and capacitors</w:t>
      </w:r>
      <w:bookmarkEnd w:id="8"/>
      <w:r>
        <w:t xml:space="preserve">.  This equipment is </w:t>
      </w:r>
      <w:r w:rsidR="00222BCD">
        <w:t xml:space="preserve">installed on the primary voltage lines and is </w:t>
      </w:r>
      <w:r>
        <w:t xml:space="preserve">utilized to maintain circuit voltages within an acceptable operating range </w:t>
      </w:r>
      <w:r>
        <w:lastRenderedPageBreak/>
        <w:t xml:space="preserve">during heavy loading conditions.  </w:t>
      </w:r>
      <w:r w:rsidR="00222BCD">
        <w:t xml:space="preserve">If there was no load connected to the </w:t>
      </w:r>
      <w:r w:rsidR="00C6190A">
        <w:t xml:space="preserve">energized </w:t>
      </w:r>
      <w:r w:rsidR="00222BCD">
        <w:t xml:space="preserve">system, line voltage would not sag, and </w:t>
      </w:r>
      <w:r w:rsidR="00EE0DF4">
        <w:t>voltage regulation equipment would not be required.  Thus, these devices are classified as demand related.</w:t>
      </w:r>
      <w:r w:rsidR="00222BCD">
        <w:t xml:space="preserve"> </w:t>
      </w:r>
      <w:bookmarkStart w:id="9" w:name="_Hlk11229242"/>
      <w:r>
        <w:t xml:space="preserve">Distribution property that is </w:t>
      </w:r>
      <w:r w:rsidR="00EC4E74">
        <w:t xml:space="preserve">independent of load and is thus </w:t>
      </w:r>
      <w:r>
        <w:t>classified as 100%</w:t>
      </w:r>
      <w:r w:rsidR="00222BCD">
        <w:t xml:space="preserve"> </w:t>
      </w:r>
      <w:r w:rsidR="00EE0DF4">
        <w:t>customer</w:t>
      </w:r>
      <w:r w:rsidR="00222BCD">
        <w:t>-related components include reclosers, sectionalizers, and fused cutouts</w:t>
      </w:r>
      <w:bookmarkEnd w:id="9"/>
      <w:r w:rsidR="00222BCD">
        <w:t xml:space="preserve">.  This equipment is installed on the primary voltage lines and function together to provide distribution system protection under fault (short circuit) conditions. </w:t>
      </w:r>
      <w:r w:rsidR="00EE0DF4">
        <w:t xml:space="preserve"> These devices work in a coordinated fashion to isolate a fault location and maintain a voltage connection to as many customers as possible during the fault event.  Without their intended intervention during a fault, line conductors and equipment would be damaged </w:t>
      </w:r>
      <w:r w:rsidR="005F2665">
        <w:t xml:space="preserve">from the fault current flows that occur and many, if not all, customers on the affected circuit could experience a major power outage.  The protection equipment functions the same with or without load connected to the </w:t>
      </w:r>
      <w:r w:rsidR="00C6190A">
        <w:t xml:space="preserve">energized </w:t>
      </w:r>
      <w:r w:rsidR="005F2665">
        <w:t xml:space="preserve">circuit because it responds to the </w:t>
      </w:r>
      <w:r w:rsidR="00C6190A">
        <w:t xml:space="preserve">severe </w:t>
      </w:r>
      <w:r w:rsidR="005F2665">
        <w:t xml:space="preserve">overcurrent situation caused by a fault.  Thus, these devices are classified as customer related.  In addition, lightning arresters are installed on the primary lines to </w:t>
      </w:r>
      <w:r w:rsidR="00EC4E74">
        <w:t xml:space="preserve">abate damaging overvoltage conditions that occur during electrical storms.  These lightning arresters function the same with or without load connected to the circuit.  Thus, these devices are classified as customer related.  </w:t>
      </w:r>
    </w:p>
    <w:p w:rsidR="008640E3" w:rsidRDefault="008640E3" w:rsidP="00120307">
      <w:pPr>
        <w:pStyle w:val="Answer"/>
        <w:numPr>
          <w:ilvl w:val="0"/>
          <w:numId w:val="0"/>
        </w:numPr>
        <w:ind w:left="720"/>
      </w:pPr>
    </w:p>
    <w:p w:rsidR="00EC4E74" w:rsidRDefault="00EC4E74" w:rsidP="008640E3">
      <w:pPr>
        <w:pStyle w:val="Answer"/>
        <w:numPr>
          <w:ilvl w:val="0"/>
          <w:numId w:val="0"/>
        </w:numPr>
        <w:ind w:left="720"/>
      </w:pPr>
      <w:r>
        <w:t xml:space="preserve">While cutouts and arresters are utilized for line protection, they are also applied to provide protection from overcurrent and overvoltage conditions for specific equipment, e.g., each overhead transformer.  Cutouts and arresters used for this purpose are classified in the same manner as the equipment they protect was classified.  </w:t>
      </w:r>
    </w:p>
    <w:p w:rsidR="00230CF4" w:rsidRPr="00333A83" w:rsidRDefault="00230CF4" w:rsidP="00230CF4">
      <w:pPr>
        <w:pStyle w:val="Answer"/>
        <w:numPr>
          <w:ilvl w:val="0"/>
          <w:numId w:val="0"/>
        </w:numPr>
        <w:ind w:left="720" w:firstLine="720"/>
      </w:pPr>
    </w:p>
    <w:p w:rsidR="008640E3" w:rsidRPr="008640E3" w:rsidRDefault="00230CF4" w:rsidP="009B21F2">
      <w:pPr>
        <w:pStyle w:val="Question"/>
        <w:keepNext/>
        <w:keepLines/>
        <w:tabs>
          <w:tab w:val="clear" w:pos="360"/>
          <w:tab w:val="clear" w:pos="720"/>
        </w:tabs>
        <w:spacing w:after="240"/>
        <w:rPr>
          <w:rFonts w:ascii="Times New Roman" w:hAnsi="Times New Roman" w:cs="Times New Roman"/>
        </w:rPr>
      </w:pPr>
      <w:r w:rsidRPr="00CB3BEE">
        <w:rPr>
          <w:rFonts w:ascii="Times New Roman" w:hAnsi="Times New Roman" w:cs="Times New Roman"/>
        </w:rPr>
        <w:t>I</w:t>
      </w:r>
      <w:r w:rsidR="00F27741">
        <w:rPr>
          <w:rFonts w:ascii="Times New Roman" w:hAnsi="Times New Roman" w:cs="Times New Roman"/>
        </w:rPr>
        <w:t xml:space="preserve">S </w:t>
      </w:r>
      <w:r>
        <w:rPr>
          <w:rFonts w:ascii="Times New Roman" w:hAnsi="Times New Roman" w:cs="Times New Roman"/>
        </w:rPr>
        <w:t xml:space="preserve">the </w:t>
      </w:r>
      <w:r w:rsidRPr="00CB3BEE">
        <w:rPr>
          <w:rFonts w:ascii="Times New Roman" w:hAnsi="Times New Roman" w:cs="Times New Roman"/>
        </w:rPr>
        <w:t xml:space="preserve">MDS </w:t>
      </w:r>
      <w:r>
        <w:rPr>
          <w:rFonts w:ascii="Times New Roman" w:hAnsi="Times New Roman" w:cs="Times New Roman"/>
        </w:rPr>
        <w:t xml:space="preserve">methodology </w:t>
      </w:r>
      <w:r w:rsidRPr="00CB3BEE">
        <w:rPr>
          <w:rFonts w:ascii="Times New Roman" w:hAnsi="Times New Roman" w:cs="Times New Roman"/>
        </w:rPr>
        <w:t>accepted by</w:t>
      </w:r>
      <w:r>
        <w:rPr>
          <w:rFonts w:ascii="Times New Roman" w:hAnsi="Times New Roman" w:cs="Times New Roman"/>
        </w:rPr>
        <w:t xml:space="preserve"> the</w:t>
      </w:r>
      <w:r w:rsidRPr="00CB3BEE">
        <w:rPr>
          <w:rFonts w:ascii="Times New Roman" w:hAnsi="Times New Roman" w:cs="Times New Roman"/>
        </w:rPr>
        <w:t xml:space="preserve"> National Association of Regulatory Utility Commissioners (NARUC) as a reasonable methodology?</w:t>
      </w:r>
    </w:p>
    <w:p w:rsidR="00230CF4" w:rsidRPr="00C07719" w:rsidRDefault="00230CF4" w:rsidP="00230CF4">
      <w:pPr>
        <w:pStyle w:val="Answer"/>
        <w:tabs>
          <w:tab w:val="clear" w:pos="3870"/>
          <w:tab w:val="num" w:pos="720"/>
        </w:tabs>
        <w:spacing w:after="240"/>
        <w:ind w:left="720"/>
        <w:rPr>
          <w:rFonts w:cs="Times New Roman"/>
        </w:rPr>
      </w:pPr>
      <w:r w:rsidRPr="00C07719">
        <w:rPr>
          <w:rFonts w:cs="Times New Roman"/>
        </w:rPr>
        <w:t>Yes</w:t>
      </w:r>
      <w:r w:rsidR="0025736F" w:rsidRPr="00C07719">
        <w:rPr>
          <w:rFonts w:cs="Times New Roman"/>
        </w:rPr>
        <w:t>, it is described in the NARUC Electric Utility Cost Allocation Manual.</w:t>
      </w:r>
      <w:r w:rsidR="00A9137C" w:rsidRPr="00C07719">
        <w:rPr>
          <w:rFonts w:cs="Times New Roman"/>
        </w:rPr>
        <w:t xml:space="preserve"> </w:t>
      </w:r>
    </w:p>
    <w:p w:rsidR="00230CF4" w:rsidRPr="00C07719" w:rsidRDefault="00230CF4" w:rsidP="009B21F2">
      <w:pPr>
        <w:pStyle w:val="Question"/>
        <w:keepNext/>
        <w:keepLines/>
        <w:tabs>
          <w:tab w:val="clear" w:pos="360"/>
          <w:tab w:val="clear" w:pos="720"/>
        </w:tabs>
        <w:spacing w:after="240"/>
        <w:rPr>
          <w:rFonts w:ascii="Times New Roman" w:hAnsi="Times New Roman" w:cs="Times New Roman"/>
          <w:b w:val="0"/>
        </w:rPr>
      </w:pPr>
      <w:r w:rsidRPr="00C07719">
        <w:rPr>
          <w:rFonts w:ascii="Times New Roman" w:hAnsi="Times New Roman" w:cs="Times New Roman"/>
        </w:rPr>
        <w:lastRenderedPageBreak/>
        <w:t>Is MDS commonly used by other utilities?</w:t>
      </w:r>
    </w:p>
    <w:p w:rsidR="00230CF4" w:rsidRPr="00C07719" w:rsidRDefault="00230CF4" w:rsidP="00230CF4">
      <w:pPr>
        <w:pStyle w:val="Answer"/>
        <w:tabs>
          <w:tab w:val="clear" w:pos="3870"/>
          <w:tab w:val="num" w:pos="720"/>
        </w:tabs>
        <w:spacing w:after="240"/>
        <w:ind w:left="720"/>
        <w:rPr>
          <w:rFonts w:cs="Times New Roman"/>
        </w:rPr>
      </w:pPr>
      <w:r w:rsidRPr="00C07719">
        <w:rPr>
          <w:rFonts w:cs="Times New Roman"/>
        </w:rPr>
        <w:t xml:space="preserve">Yes. </w:t>
      </w:r>
      <w:r w:rsidR="00C07719" w:rsidRPr="00C07719">
        <w:rPr>
          <w:rFonts w:cs="Times New Roman"/>
        </w:rPr>
        <w:t xml:space="preserve">Examples of U.S. and Canadian utilities where MDS has been used in cost of service include Alabama Power (AL), ATCO (CAN), Carolina Power &amp; Light (NC), Central Hudson Electric &amp; Gas (NY), Central Maine Power (ME), Choctawhatchee Electric Cooperative (FL), Connecticut Light &amp; Power (CT), </w:t>
      </w:r>
      <w:r w:rsidR="00A37DB6" w:rsidRPr="00C07719">
        <w:rPr>
          <w:rFonts w:cs="Times New Roman"/>
        </w:rPr>
        <w:t>Duke Energy Progress (NC),</w:t>
      </w:r>
      <w:r w:rsidR="00A37DB6">
        <w:rPr>
          <w:rFonts w:cs="Times New Roman"/>
        </w:rPr>
        <w:t xml:space="preserve"> </w:t>
      </w:r>
      <w:r w:rsidR="00C07719" w:rsidRPr="00C07719">
        <w:rPr>
          <w:rFonts w:cs="Times New Roman"/>
        </w:rPr>
        <w:t>Gulf Power (FL), Hydro One (CAN), Jackson County REMC (IN), Kentucky Utilities (KY), LG&amp;E (KY), Madison Gas &amp; Electric (WI), Mississippi Power (MS), New Brunswick Power Corporation (CAN), Newfoundland Power (CAN), Northern States Power (MN), Rochester Gas &amp; Electric (NY), and Tampa Electric (FL).</w:t>
      </w:r>
    </w:p>
    <w:p w:rsidR="00230CF4" w:rsidRPr="00C07719" w:rsidRDefault="00230CF4" w:rsidP="009B21F2">
      <w:pPr>
        <w:pStyle w:val="Question"/>
        <w:keepNext/>
        <w:keepLines/>
        <w:tabs>
          <w:tab w:val="clear" w:pos="360"/>
          <w:tab w:val="clear" w:pos="720"/>
        </w:tabs>
        <w:spacing w:after="240"/>
        <w:rPr>
          <w:rFonts w:ascii="Times New Roman" w:hAnsi="Times New Roman" w:cs="Times New Roman"/>
        </w:rPr>
      </w:pPr>
      <w:r w:rsidRPr="00C07719">
        <w:rPr>
          <w:rFonts w:ascii="Times New Roman" w:hAnsi="Times New Roman" w:cs="Times New Roman"/>
        </w:rPr>
        <w:t>has Georgia Power previously filed a cost-of-service study including an MDS analysis?</w:t>
      </w:r>
    </w:p>
    <w:p w:rsidR="00230CF4" w:rsidRPr="00C07719" w:rsidRDefault="00230CF4" w:rsidP="00230CF4">
      <w:pPr>
        <w:pStyle w:val="Answer"/>
        <w:tabs>
          <w:tab w:val="clear" w:pos="3870"/>
          <w:tab w:val="num" w:pos="720"/>
        </w:tabs>
        <w:spacing w:after="240"/>
        <w:ind w:left="720"/>
        <w:rPr>
          <w:rFonts w:cs="Times New Roman"/>
        </w:rPr>
      </w:pPr>
      <w:r w:rsidRPr="00C07719">
        <w:rPr>
          <w:rFonts w:cs="Times New Roman"/>
        </w:rPr>
        <w:t xml:space="preserve">Yes. Georgia Power has filed cost-of-service studies that include an MDS analysis </w:t>
      </w:r>
      <w:r w:rsidR="00295C7F" w:rsidRPr="00C07719">
        <w:rPr>
          <w:rFonts w:cs="Times New Roman"/>
        </w:rPr>
        <w:t>for several decades</w:t>
      </w:r>
      <w:r w:rsidRPr="00C07719">
        <w:rPr>
          <w:rFonts w:cs="Times New Roman"/>
        </w:rPr>
        <w:t xml:space="preserve">. As such, the MDS analysis has been included in the parity calculation among rates and rate groups and subsequently considered in any corresponding rate adjustments for </w:t>
      </w:r>
      <w:r w:rsidR="00295C7F" w:rsidRPr="00C07719">
        <w:rPr>
          <w:rFonts w:cs="Times New Roman"/>
        </w:rPr>
        <w:t xml:space="preserve">over 30 </w:t>
      </w:r>
      <w:r w:rsidRPr="00C07719">
        <w:rPr>
          <w:rFonts w:cs="Times New Roman"/>
        </w:rPr>
        <w:t>years.</w:t>
      </w:r>
    </w:p>
    <w:p w:rsidR="00B1115C" w:rsidRDefault="007049A6" w:rsidP="00F06900">
      <w:pPr>
        <w:pStyle w:val="SingleSpacing"/>
        <w:keepNext/>
        <w:keepLines/>
        <w:widowControl w:val="0"/>
        <w:tabs>
          <w:tab w:val="left" w:pos="720"/>
        </w:tabs>
        <w:spacing w:after="240" w:line="480" w:lineRule="exact"/>
        <w:ind w:left="744" w:hanging="744"/>
        <w:jc w:val="center"/>
        <w:rPr>
          <w:rFonts w:ascii="Times New Roman" w:hAnsi="Times New Roman" w:cs="Times New Roman"/>
          <w:b/>
          <w:u w:val="single"/>
        </w:rPr>
      </w:pPr>
      <w:r>
        <w:rPr>
          <w:rFonts w:ascii="Times New Roman" w:hAnsi="Times New Roman" w:cs="Times New Roman"/>
          <w:b/>
          <w:u w:val="single"/>
        </w:rPr>
        <w:t xml:space="preserve">COST </w:t>
      </w:r>
      <w:r w:rsidR="00B1115C" w:rsidRPr="00777C4E">
        <w:rPr>
          <w:rFonts w:ascii="Times New Roman" w:hAnsi="Times New Roman" w:cs="Times New Roman"/>
          <w:b/>
          <w:u w:val="single"/>
        </w:rPr>
        <w:t>A</w:t>
      </w:r>
      <w:r w:rsidR="00B1115C">
        <w:rPr>
          <w:rFonts w:ascii="Times New Roman" w:hAnsi="Times New Roman" w:cs="Times New Roman"/>
          <w:b/>
          <w:u w:val="single"/>
        </w:rPr>
        <w:t>LLOCATORS</w:t>
      </w:r>
    </w:p>
    <w:p w:rsidR="00230CF4" w:rsidRDefault="00230CF4" w:rsidP="009B21F2">
      <w:pPr>
        <w:pStyle w:val="Question"/>
        <w:tabs>
          <w:tab w:val="clear" w:pos="360"/>
          <w:tab w:val="clear" w:pos="720"/>
        </w:tabs>
        <w:spacing w:after="240"/>
      </w:pPr>
      <w:r>
        <w:t>WHAT ARE COST ALLOCATORS, AND WHAT ARE THEY USED FOR?</w:t>
      </w:r>
    </w:p>
    <w:p w:rsidR="008640E3" w:rsidRPr="008640E3" w:rsidRDefault="00586C3C" w:rsidP="008640E3">
      <w:pPr>
        <w:pStyle w:val="Answer"/>
        <w:tabs>
          <w:tab w:val="num" w:pos="696"/>
        </w:tabs>
        <w:spacing w:after="240"/>
        <w:ind w:left="720"/>
      </w:pPr>
      <w:r>
        <w:t>Cost allocators are</w:t>
      </w:r>
      <w:r w:rsidR="006572EF">
        <w:t xml:space="preserve"> per unit</w:t>
      </w:r>
      <w:r>
        <w:t xml:space="preserve"> ratios</w:t>
      </w:r>
      <w:r w:rsidR="006572EF">
        <w:t>, or percentages,</w:t>
      </w:r>
      <w:r>
        <w:t xml:space="preserve"> that are based on cost</w:t>
      </w:r>
      <w:r w:rsidR="006572EF">
        <w:t>-</w:t>
      </w:r>
      <w:r>
        <w:t>causation</w:t>
      </w:r>
      <w:r w:rsidR="006572EF">
        <w:t xml:space="preserve"> characteristics</w:t>
      </w:r>
      <w:r>
        <w:t xml:space="preserve">, and these ratios are applied to total common cost items </w:t>
      </w:r>
      <w:r w:rsidR="006572EF">
        <w:t xml:space="preserve">(e.g., a production asset) </w:t>
      </w:r>
      <w:r>
        <w:t>to apportion the</w:t>
      </w:r>
      <w:r w:rsidR="00425654">
        <w:t>ir</w:t>
      </w:r>
      <w:r>
        <w:t xml:space="preserve"> costs to the customer groups or rates.  The</w:t>
      </w:r>
      <w:r w:rsidR="006572EF">
        <w:t>se</w:t>
      </w:r>
      <w:r>
        <w:t xml:space="preserve"> ratios represent </w:t>
      </w:r>
      <w:r w:rsidR="006572EF">
        <w:t>the fair share proportion of the cost</w:t>
      </w:r>
      <w:r w:rsidR="00425654">
        <w:t>s</w:t>
      </w:r>
      <w:r w:rsidR="006572EF">
        <w:t xml:space="preserve"> of service for each </w:t>
      </w:r>
      <w:r>
        <w:t>customer group or rate</w:t>
      </w:r>
      <w:r w:rsidR="006572EF">
        <w:t xml:space="preserve">.  To best reflect cost causation across all of the assets used to provide electric service, a series of ratios are developed for the </w:t>
      </w:r>
      <w:r w:rsidR="00425654">
        <w:t xml:space="preserve">allocations of the </w:t>
      </w:r>
      <w:r w:rsidR="001A1B43">
        <w:t xml:space="preserve">various </w:t>
      </w:r>
      <w:r w:rsidR="006572EF">
        <w:t>energy, demand, and customer cost component</w:t>
      </w:r>
      <w:r w:rsidR="00425654">
        <w:t xml:space="preserve"> item</w:t>
      </w:r>
      <w:r w:rsidR="006572EF">
        <w:t>s.</w:t>
      </w:r>
    </w:p>
    <w:p w:rsidR="00B1115C" w:rsidRDefault="00B1115C" w:rsidP="009B21F2">
      <w:pPr>
        <w:pStyle w:val="Question"/>
        <w:tabs>
          <w:tab w:val="clear" w:pos="360"/>
          <w:tab w:val="clear" w:pos="720"/>
        </w:tabs>
        <w:spacing w:after="240"/>
      </w:pPr>
      <w:r>
        <w:t>H</w:t>
      </w:r>
      <w:r w:rsidRPr="00802C84">
        <w:t>ow</w:t>
      </w:r>
      <w:r>
        <w:t xml:space="preserve"> were</w:t>
      </w:r>
      <w:r w:rsidRPr="00777C4E">
        <w:t xml:space="preserve"> the </w:t>
      </w:r>
      <w:r w:rsidR="00C3746B">
        <w:t xml:space="preserve">COST </w:t>
      </w:r>
      <w:r w:rsidRPr="00777C4E">
        <w:t>allocators developed?</w:t>
      </w:r>
    </w:p>
    <w:p w:rsidR="00B1115C" w:rsidRDefault="00B1115C" w:rsidP="00CD2C2C">
      <w:pPr>
        <w:pStyle w:val="Answer"/>
        <w:tabs>
          <w:tab w:val="num" w:pos="720"/>
        </w:tabs>
        <w:spacing w:after="240"/>
        <w:ind w:left="720"/>
      </w:pPr>
      <w:r w:rsidRPr="00777C4E">
        <w:lastRenderedPageBreak/>
        <w:t>The development beg</w:t>
      </w:r>
      <w:r>
        <w:t>an</w:t>
      </w:r>
      <w:r w:rsidRPr="00777C4E">
        <w:t xml:space="preserve"> with the collection and analysis of load research data.  The number of customers and their respective demand and energy sales by voltage level of service were collected and analyzed as was territorial supply and </w:t>
      </w:r>
      <w:r w:rsidR="00C3746B">
        <w:t xml:space="preserve">system energy and demand </w:t>
      </w:r>
      <w:r w:rsidRPr="00777C4E">
        <w:t xml:space="preserve">losses.  These demands by rate group </w:t>
      </w:r>
      <w:r w:rsidR="007346F8">
        <w:t>occurred</w:t>
      </w:r>
      <w:r w:rsidR="007346F8" w:rsidRPr="00777C4E">
        <w:t xml:space="preserve"> </w:t>
      </w:r>
      <w:r w:rsidRPr="00777C4E">
        <w:t>at the time</w:t>
      </w:r>
      <w:r w:rsidR="00E35DE2">
        <w:t>s</w:t>
      </w:r>
      <w:r w:rsidRPr="00777C4E">
        <w:t xml:space="preserve"> of the company’s monthly coincident peaks (CP) and the non-coincident peaks (NCP).  </w:t>
      </w:r>
      <w:r w:rsidR="00C3746B">
        <w:t xml:space="preserve">System power </w:t>
      </w:r>
      <w:r w:rsidRPr="00777C4E">
        <w:t xml:space="preserve">flows were </w:t>
      </w:r>
      <w:r w:rsidR="00C3746B">
        <w:t>modeled</w:t>
      </w:r>
      <w:r w:rsidRPr="00777C4E">
        <w:t xml:space="preserve"> </w:t>
      </w:r>
      <w:r w:rsidR="007346F8">
        <w:t>through</w:t>
      </w:r>
      <w:r w:rsidR="007346F8" w:rsidRPr="00777C4E">
        <w:t xml:space="preserve"> </w:t>
      </w:r>
      <w:r w:rsidRPr="00777C4E">
        <w:t xml:space="preserve">the various voltage levels of </w:t>
      </w:r>
      <w:r w:rsidR="008E174F">
        <w:t>the system</w:t>
      </w:r>
      <w:r w:rsidRPr="00777C4E">
        <w:t xml:space="preserve">.  </w:t>
      </w:r>
      <w:r w:rsidR="008E174F">
        <w:t>This analysis produced</w:t>
      </w:r>
      <w:r w:rsidRPr="00777C4E">
        <w:t xml:space="preserve"> the “12-CP,” “4-CP</w:t>
      </w:r>
      <w:r>
        <w:t>,</w:t>
      </w:r>
      <w:r w:rsidRPr="00777C4E">
        <w:t>”</w:t>
      </w:r>
      <w:r w:rsidR="00082AB1">
        <w:t xml:space="preserve"> and</w:t>
      </w:r>
      <w:r>
        <w:t xml:space="preserve"> </w:t>
      </w:r>
      <w:r w:rsidRPr="00777C4E">
        <w:t>“NCP”</w:t>
      </w:r>
      <w:r w:rsidR="00082AB1">
        <w:t xml:space="preserve"> demand allocators</w:t>
      </w:r>
      <w:r w:rsidR="00AB17B9">
        <w:t>,</w:t>
      </w:r>
      <w:r w:rsidRPr="00777C4E">
        <w:t xml:space="preserve"> </w:t>
      </w:r>
      <w:r w:rsidR="00082AB1">
        <w:t xml:space="preserve">the </w:t>
      </w:r>
      <w:r w:rsidR="00AB17B9">
        <w:t xml:space="preserve">kWh </w:t>
      </w:r>
      <w:r w:rsidRPr="00777C4E">
        <w:t>“energy” allocators</w:t>
      </w:r>
      <w:r w:rsidR="00AB17B9">
        <w:t>, and</w:t>
      </w:r>
      <w:r w:rsidRPr="00777C4E">
        <w:t xml:space="preserve"> the “number of customers” allocator.</w:t>
      </w:r>
    </w:p>
    <w:p w:rsidR="00B1115C" w:rsidRPr="005D5529" w:rsidRDefault="00B1115C" w:rsidP="009B21F2">
      <w:pPr>
        <w:pStyle w:val="Question"/>
        <w:tabs>
          <w:tab w:val="clear" w:pos="360"/>
          <w:tab w:val="clear" w:pos="720"/>
        </w:tabs>
        <w:spacing w:after="240"/>
      </w:pPr>
      <w:r w:rsidRPr="005D5529">
        <w:t xml:space="preserve">Please explain further how you developed </w:t>
      </w:r>
      <w:r w:rsidR="003F3F2F">
        <w:t xml:space="preserve">ENERGY AND </w:t>
      </w:r>
      <w:r w:rsidRPr="005D5529">
        <w:t>demand allocators for the various voltage levels of service.</w:t>
      </w:r>
    </w:p>
    <w:p w:rsidR="00477920" w:rsidRDefault="00B1115C" w:rsidP="00CD2C2C">
      <w:pPr>
        <w:pStyle w:val="Answer"/>
        <w:tabs>
          <w:tab w:val="num" w:pos="720"/>
        </w:tabs>
        <w:ind w:left="720"/>
      </w:pPr>
      <w:r w:rsidRPr="00777C4E">
        <w:t xml:space="preserve">Balanced system </w:t>
      </w:r>
      <w:r w:rsidR="001A45FF">
        <w:t>power</w:t>
      </w:r>
      <w:r w:rsidRPr="00777C4E">
        <w:t xml:space="preserve"> flows for demand and energy were developed through a </w:t>
      </w:r>
      <w:r w:rsidR="001A45FF">
        <w:t>model</w:t>
      </w:r>
      <w:r w:rsidRPr="00777C4E">
        <w:t xml:space="preserve">, which computes total system losses for each voltage level.  The </w:t>
      </w:r>
      <w:r w:rsidR="001A45FF">
        <w:t>power</w:t>
      </w:r>
      <w:r w:rsidRPr="00777C4E">
        <w:t xml:space="preserve"> flow process beg</w:t>
      </w:r>
      <w:r>
        <w:t xml:space="preserve">an </w:t>
      </w:r>
      <w:r w:rsidRPr="00777C4E">
        <w:t xml:space="preserve">by taking the total energy sales at secondary distribution, </w:t>
      </w:r>
      <w:r w:rsidR="001A45FF" w:rsidRPr="00777C4E">
        <w:t xml:space="preserve">Level G, </w:t>
      </w:r>
      <w:r w:rsidR="001A45FF">
        <w:t xml:space="preserve">and </w:t>
      </w:r>
      <w:r w:rsidRPr="00777C4E">
        <w:t>multipl</w:t>
      </w:r>
      <w:r>
        <w:t>ying</w:t>
      </w:r>
      <w:r w:rsidRPr="00777C4E">
        <w:t xml:space="preserve"> these sales by the loss percentage at Level G, and then combin</w:t>
      </w:r>
      <w:r>
        <w:t>ing</w:t>
      </w:r>
      <w:r w:rsidRPr="00777C4E">
        <w:t xml:space="preserve"> these calculated losses and sales.  </w:t>
      </w:r>
      <w:r>
        <w:t>This amount wa</w:t>
      </w:r>
      <w:r w:rsidRPr="00777C4E">
        <w:t xml:space="preserve">s then added to the sales at </w:t>
      </w:r>
      <w:r w:rsidR="001A45FF">
        <w:t xml:space="preserve">primary distribution, </w:t>
      </w:r>
      <w:r w:rsidRPr="00777C4E">
        <w:t xml:space="preserve">Level F, and this new total </w:t>
      </w:r>
      <w:r>
        <w:t>was</w:t>
      </w:r>
      <w:r w:rsidRPr="00777C4E">
        <w:t xml:space="preserve"> in turn multiplied by the loss percentage at Level F.  This procedure </w:t>
      </w:r>
      <w:r>
        <w:t>was</w:t>
      </w:r>
      <w:r w:rsidRPr="00777C4E">
        <w:t xml:space="preserve"> continued up through the </w:t>
      </w:r>
      <w:r w:rsidR="00C02901">
        <w:t xml:space="preserve">transmission system to </w:t>
      </w:r>
      <w:r w:rsidRPr="00777C4E">
        <w:t>generation</w:t>
      </w:r>
      <w:r w:rsidR="001A45FF">
        <w:t xml:space="preserve">, </w:t>
      </w:r>
      <w:r w:rsidR="001A45FF" w:rsidRPr="00777C4E">
        <w:t>Level A</w:t>
      </w:r>
      <w:r w:rsidRPr="00777C4E">
        <w:t xml:space="preserve">.  </w:t>
      </w:r>
      <w:r w:rsidR="008E03E6">
        <w:t xml:space="preserve">The cumulative level sales and losses </w:t>
      </w:r>
      <w:r w:rsidR="00C02901">
        <w:t xml:space="preserve">were </w:t>
      </w:r>
      <w:r w:rsidR="008E03E6">
        <w:t>then compared to the actual generation output.</w:t>
      </w:r>
      <w:r w:rsidR="001A45FF">
        <w:t xml:space="preserve">  </w:t>
      </w:r>
      <w:r w:rsidR="008E03E6">
        <w:t xml:space="preserve">To the extent that there </w:t>
      </w:r>
      <w:r w:rsidR="00C02901">
        <w:t xml:space="preserve">was </w:t>
      </w:r>
      <w:r w:rsidR="008E03E6">
        <w:t xml:space="preserve">a mismatch between </w:t>
      </w:r>
      <w:r w:rsidR="00477920">
        <w:t xml:space="preserve">the total </w:t>
      </w:r>
      <w:r w:rsidR="008E03E6">
        <w:t xml:space="preserve">loss adjusted sales and </w:t>
      </w:r>
      <w:r w:rsidR="00477920">
        <w:t>generation output, t</w:t>
      </w:r>
      <w:r w:rsidRPr="00777C4E">
        <w:t xml:space="preserve">he </w:t>
      </w:r>
      <w:r w:rsidR="001A45FF">
        <w:t>model</w:t>
      </w:r>
      <w:r w:rsidRPr="00777C4E">
        <w:t xml:space="preserve"> </w:t>
      </w:r>
      <w:r w:rsidR="00477920">
        <w:t xml:space="preserve">then </w:t>
      </w:r>
      <w:r w:rsidR="00C02901" w:rsidRPr="00777C4E">
        <w:t>adjust</w:t>
      </w:r>
      <w:r w:rsidR="00C02901">
        <w:t>ed</w:t>
      </w:r>
      <w:r w:rsidR="00C02901" w:rsidRPr="00777C4E">
        <w:t xml:space="preserve"> </w:t>
      </w:r>
      <w:r w:rsidRPr="00777C4E">
        <w:t xml:space="preserve">the loss percentages at each level and then </w:t>
      </w:r>
      <w:r w:rsidR="00C02901" w:rsidRPr="00777C4E">
        <w:t>iterate</w:t>
      </w:r>
      <w:r w:rsidR="00C02901">
        <w:t>d</w:t>
      </w:r>
      <w:r w:rsidR="00C02901" w:rsidRPr="00777C4E">
        <w:t xml:space="preserve"> </w:t>
      </w:r>
      <w:r w:rsidRPr="00777C4E">
        <w:t xml:space="preserve">the above process until the sum of the losses at each level </w:t>
      </w:r>
      <w:r w:rsidR="00C02901" w:rsidRPr="00777C4E">
        <w:t>matche</w:t>
      </w:r>
      <w:r w:rsidR="00C02901">
        <w:t>d</w:t>
      </w:r>
      <w:r w:rsidR="00C02901" w:rsidRPr="00777C4E">
        <w:t xml:space="preserve"> </w:t>
      </w:r>
      <w:r w:rsidRPr="00777C4E">
        <w:t xml:space="preserve">the total system losses, and a balanced </w:t>
      </w:r>
      <w:r w:rsidR="00477920">
        <w:t xml:space="preserve">power </w:t>
      </w:r>
      <w:r w:rsidRPr="00777C4E">
        <w:t xml:space="preserve">flow </w:t>
      </w:r>
      <w:r w:rsidR="00C02901">
        <w:t xml:space="preserve">was </w:t>
      </w:r>
      <w:r w:rsidR="00477920">
        <w:t>achieved</w:t>
      </w:r>
      <w:r w:rsidRPr="00777C4E">
        <w:t>.</w:t>
      </w:r>
    </w:p>
    <w:p w:rsidR="008640E3" w:rsidRDefault="008640E3" w:rsidP="00795928">
      <w:pPr>
        <w:pStyle w:val="Answer"/>
        <w:numPr>
          <w:ilvl w:val="0"/>
          <w:numId w:val="0"/>
        </w:numPr>
        <w:ind w:left="720" w:firstLine="720"/>
      </w:pPr>
    </w:p>
    <w:p w:rsidR="003F3F2F" w:rsidRDefault="00B1115C" w:rsidP="008640E3">
      <w:pPr>
        <w:pStyle w:val="Answer"/>
        <w:numPr>
          <w:ilvl w:val="0"/>
          <w:numId w:val="0"/>
        </w:numPr>
        <w:ind w:left="720"/>
      </w:pPr>
      <w:r w:rsidRPr="00795928">
        <w:t xml:space="preserve">These total system loss percentages were then applied to the </w:t>
      </w:r>
      <w:r w:rsidR="00C02901" w:rsidRPr="00795928">
        <w:t xml:space="preserve">energy sales of each </w:t>
      </w:r>
      <w:r w:rsidRPr="00795928">
        <w:t>rate group</w:t>
      </w:r>
      <w:r w:rsidR="00C02901" w:rsidRPr="00795928">
        <w:t xml:space="preserve"> in order to compute </w:t>
      </w:r>
      <w:r w:rsidR="003F3F2F" w:rsidRPr="00795928">
        <w:t>each group’s</w:t>
      </w:r>
      <w:r w:rsidR="00C02901" w:rsidRPr="00795928">
        <w:t xml:space="preserve"> loss adjusted sales at each voltage level.  </w:t>
      </w:r>
      <w:bookmarkStart w:id="10" w:name="_Hlk11394664"/>
      <w:r w:rsidR="003F3F2F" w:rsidRPr="00795928">
        <w:t xml:space="preserve">The aggregation of each group’s energy sales and losses up through the system to Level A provided the basis for developing the energy allocator for VO&amp;M costs.  Since the </w:t>
      </w:r>
      <w:r w:rsidR="003F3F2F" w:rsidRPr="00795928">
        <w:lastRenderedPageBreak/>
        <w:t xml:space="preserve">VO&amp;M costs occur at the generation </w:t>
      </w:r>
      <w:r w:rsidR="005E552D" w:rsidRPr="00212FD5">
        <w:t xml:space="preserve">(territorial input) </w:t>
      </w:r>
      <w:r w:rsidR="003F3F2F" w:rsidRPr="00795928">
        <w:t xml:space="preserve">level, basing the energy allocator on the groups’ loss adjusted sales at Level A results in a fair and equitable allocation of </w:t>
      </w:r>
      <w:r w:rsidR="005E552D" w:rsidRPr="00795928">
        <w:t>the energy-related</w:t>
      </w:r>
      <w:r w:rsidR="003F3F2F" w:rsidRPr="00795928">
        <w:t xml:space="preserve"> costs</w:t>
      </w:r>
      <w:bookmarkEnd w:id="10"/>
      <w:r w:rsidR="003F3F2F" w:rsidRPr="00795928">
        <w:t>.</w:t>
      </w:r>
    </w:p>
    <w:p w:rsidR="008640E3" w:rsidRPr="00795928" w:rsidRDefault="008640E3" w:rsidP="008640E3">
      <w:pPr>
        <w:pStyle w:val="Answer"/>
        <w:numPr>
          <w:ilvl w:val="0"/>
          <w:numId w:val="0"/>
        </w:numPr>
        <w:ind w:left="720"/>
      </w:pPr>
    </w:p>
    <w:p w:rsidR="00B1115C" w:rsidRDefault="00B1115C" w:rsidP="008640E3">
      <w:pPr>
        <w:pStyle w:val="Answer"/>
        <w:numPr>
          <w:ilvl w:val="0"/>
          <w:numId w:val="0"/>
        </w:numPr>
        <w:spacing w:after="240"/>
        <w:ind w:left="720"/>
      </w:pPr>
      <w:r w:rsidRPr="00795928">
        <w:t>A similar process was used to calculate the 12-CP and 4-CP demand allocators.  The NCP demand allocators for Levels F and G were developed using the loss percentages calculated by the monthly coincident peak demand flow since there is no territorial input for NCP with which to balance.</w:t>
      </w:r>
    </w:p>
    <w:p w:rsidR="00B1115C" w:rsidRDefault="00B1115C" w:rsidP="009B21F2">
      <w:pPr>
        <w:pStyle w:val="Question"/>
        <w:tabs>
          <w:tab w:val="clear" w:pos="360"/>
          <w:tab w:val="clear" w:pos="720"/>
        </w:tabs>
        <w:spacing w:after="240"/>
      </w:pPr>
      <w:r w:rsidRPr="00777C4E">
        <w:t xml:space="preserve">Please expand on the 12-CP and NCP </w:t>
      </w:r>
      <w:r w:rsidR="00477920">
        <w:t xml:space="preserve">Allocator </w:t>
      </w:r>
      <w:r w:rsidRPr="00777C4E">
        <w:t>concepts.</w:t>
      </w:r>
    </w:p>
    <w:p w:rsidR="00C23EC2" w:rsidRDefault="00C23EC2" w:rsidP="001A72BB">
      <w:pPr>
        <w:pStyle w:val="Answer"/>
        <w:numPr>
          <w:ilvl w:val="0"/>
          <w:numId w:val="14"/>
        </w:numPr>
        <w:ind w:hanging="720"/>
      </w:pPr>
      <w:r w:rsidRPr="00095ABA">
        <w:t xml:space="preserve">The demand of customers can be described in </w:t>
      </w:r>
      <w:r w:rsidR="001A1B43" w:rsidRPr="008C47ED">
        <w:t>many ways</w:t>
      </w:r>
      <w:r w:rsidRPr="00095ABA">
        <w:t xml:space="preserve">.  </w:t>
      </w:r>
      <w:r w:rsidR="001A1B43" w:rsidRPr="008C47ED">
        <w:t xml:space="preserve">A </w:t>
      </w:r>
      <w:r w:rsidRPr="00095ABA">
        <w:t xml:space="preserve">12-CP demand is used as an allocator in the </w:t>
      </w:r>
      <w:r w:rsidR="001A1B43" w:rsidRPr="008C47ED">
        <w:t xml:space="preserve">cost-of-service </w:t>
      </w:r>
      <w:r w:rsidRPr="00095ABA">
        <w:t xml:space="preserve">study where capacity is built to support the common or coincident load of customers in every month of the year.  </w:t>
      </w:r>
      <w:r w:rsidR="001A1B43" w:rsidRPr="008C47ED">
        <w:t xml:space="preserve">A </w:t>
      </w:r>
      <w:r w:rsidRPr="00095ABA">
        <w:t xml:space="preserve">12-CP demand  is defined as the sum of the highest </w:t>
      </w:r>
      <w:r w:rsidR="001A1B43" w:rsidRPr="000C2FC8">
        <w:t>kW</w:t>
      </w:r>
      <w:r w:rsidRPr="00095ABA">
        <w:t xml:space="preserve"> load for the Company in each month of the 12-month period divided by twelve.  At the jurisdictional, class or rate </w:t>
      </w:r>
      <w:r w:rsidR="00095ABA">
        <w:t xml:space="preserve">group </w:t>
      </w:r>
      <w:r w:rsidRPr="00095ABA">
        <w:t xml:space="preserve">level, 12-CP is the </w:t>
      </w:r>
      <w:r w:rsidR="00095ABA">
        <w:t xml:space="preserve">respective coincident </w:t>
      </w:r>
      <w:r w:rsidRPr="00095ABA">
        <w:t>demand</w:t>
      </w:r>
      <w:r w:rsidR="00095ABA">
        <w:t>s</w:t>
      </w:r>
      <w:r w:rsidRPr="00095ABA">
        <w:t xml:space="preserve"> at the time of the monthly system peak</w:t>
      </w:r>
      <w:r w:rsidR="00095ABA">
        <w:t>s</w:t>
      </w:r>
      <w:r w:rsidRPr="00095ABA">
        <w:t xml:space="preserve">.  Using this allocator ensures that the coincident </w:t>
      </w:r>
      <w:r w:rsidR="00095ABA">
        <w:t xml:space="preserve">load </w:t>
      </w:r>
      <w:r w:rsidRPr="00095ABA">
        <w:t>burden placed on the system by a jurisdiction, class or rate group is allocated an appropriate share of the costs of the system.  Since the last filed study, the use of this concept has been strengthened by the fact that the company is now planning for both summer and winter reliability constraints.  The summer and winter reliability planning of the company further underscores that no one month or season is adequate at representing the coincident impact of customers on system capacity.</w:t>
      </w:r>
    </w:p>
    <w:p w:rsidR="008640E3" w:rsidRDefault="008640E3" w:rsidP="008640E3">
      <w:pPr>
        <w:pStyle w:val="Answer"/>
        <w:numPr>
          <w:ilvl w:val="0"/>
          <w:numId w:val="0"/>
        </w:numPr>
        <w:ind w:left="720"/>
      </w:pPr>
    </w:p>
    <w:p w:rsidR="00B1115C" w:rsidRDefault="00B1115C" w:rsidP="008640E3">
      <w:pPr>
        <w:pStyle w:val="Answer"/>
        <w:numPr>
          <w:ilvl w:val="0"/>
          <w:numId w:val="0"/>
        </w:numPr>
        <w:spacing w:after="240"/>
        <w:ind w:left="720"/>
      </w:pPr>
      <w:r w:rsidRPr="00333A83">
        <w:t xml:space="preserve">The NCP demand </w:t>
      </w:r>
      <w:r w:rsidRPr="00FF2DB8">
        <w:t xml:space="preserve">is the highest </w:t>
      </w:r>
      <w:r w:rsidR="006D7718" w:rsidRPr="00EC0500">
        <w:t xml:space="preserve">hourly </w:t>
      </w:r>
      <w:r w:rsidRPr="00EC0500">
        <w:t xml:space="preserve">demand occurring for </w:t>
      </w:r>
      <w:r w:rsidR="006D7718" w:rsidRPr="004B6277">
        <w:t xml:space="preserve">each </w:t>
      </w:r>
      <w:r w:rsidRPr="004B6277">
        <w:t xml:space="preserve">rate </w:t>
      </w:r>
      <w:r w:rsidR="00CE59D7">
        <w:t>group</w:t>
      </w:r>
      <w:r w:rsidR="00CE59D7" w:rsidRPr="008673DB">
        <w:t xml:space="preserve"> </w:t>
      </w:r>
      <w:r w:rsidRPr="004B6277">
        <w:t xml:space="preserve">during the </w:t>
      </w:r>
      <w:r w:rsidR="004B6277" w:rsidRPr="004B6277">
        <w:t xml:space="preserve">entire </w:t>
      </w:r>
      <w:r w:rsidR="006D7718" w:rsidRPr="004B6277">
        <w:t xml:space="preserve">test </w:t>
      </w:r>
      <w:r w:rsidRPr="004B6277">
        <w:t xml:space="preserve">period.  </w:t>
      </w:r>
      <w:r w:rsidR="006D7718" w:rsidRPr="004B6277">
        <w:t>The NCP allocator is applied at the distribution levels, where customer peak loads</w:t>
      </w:r>
      <w:r w:rsidR="000C2FC8">
        <w:t xml:space="preserve"> have much less diversity </w:t>
      </w:r>
      <w:r w:rsidR="006D7718" w:rsidRPr="004B6277">
        <w:t xml:space="preserve">with each other than they </w:t>
      </w:r>
      <w:r w:rsidR="000C2FC8">
        <w:t xml:space="preserve">do </w:t>
      </w:r>
      <w:r w:rsidR="006D7718" w:rsidRPr="004B6277">
        <w:t xml:space="preserve">at the upper </w:t>
      </w:r>
      <w:r w:rsidR="004B6277" w:rsidRPr="004B6277">
        <w:t xml:space="preserve">voltage </w:t>
      </w:r>
      <w:r w:rsidR="006D7718" w:rsidRPr="004B6277">
        <w:t xml:space="preserve">levels of the system.  </w:t>
      </w:r>
      <w:r w:rsidR="006D7718">
        <w:t xml:space="preserve">The NCP allocators </w:t>
      </w:r>
      <w:r w:rsidR="006D7718" w:rsidRPr="00CA459B">
        <w:t>more accurately reflect</w:t>
      </w:r>
      <w:r w:rsidR="006D7718">
        <w:t>s</w:t>
      </w:r>
      <w:r w:rsidR="006D7718" w:rsidRPr="00CA459B">
        <w:t xml:space="preserve"> the characteristics </w:t>
      </w:r>
      <w:r w:rsidR="006D7718">
        <w:t xml:space="preserve">of customer loads </w:t>
      </w:r>
      <w:r w:rsidR="006D7718" w:rsidRPr="00CA459B">
        <w:t xml:space="preserve">at the </w:t>
      </w:r>
      <w:r w:rsidR="006D7718">
        <w:t xml:space="preserve">primary and </w:t>
      </w:r>
      <w:r w:rsidR="006D7718" w:rsidRPr="00CA459B">
        <w:t>secondary distribution level</w:t>
      </w:r>
      <w:r w:rsidR="006D7718">
        <w:t>s</w:t>
      </w:r>
      <w:r w:rsidR="006D7718" w:rsidRPr="00CA459B">
        <w:t xml:space="preserve"> and more closely </w:t>
      </w:r>
      <w:r w:rsidR="006D7718" w:rsidRPr="00CA459B">
        <w:lastRenderedPageBreak/>
        <w:t>approximates how the Company plans and operates th</w:t>
      </w:r>
      <w:r w:rsidR="006D7718">
        <w:t>ese</w:t>
      </w:r>
      <w:r w:rsidR="006D7718" w:rsidRPr="00CA459B">
        <w:t xml:space="preserve"> </w:t>
      </w:r>
      <w:r w:rsidR="006D7718">
        <w:t>functional areas</w:t>
      </w:r>
      <w:r w:rsidR="006D7718" w:rsidRPr="00CA459B">
        <w:t xml:space="preserve"> of </w:t>
      </w:r>
      <w:r w:rsidR="006D7718">
        <w:t>the</w:t>
      </w:r>
      <w:r w:rsidR="006D7718" w:rsidRPr="00CA459B">
        <w:t xml:space="preserve"> distribution system. </w:t>
      </w:r>
      <w:r w:rsidR="006D7718">
        <w:t xml:space="preserve"> </w:t>
      </w:r>
      <w:bookmarkStart w:id="11" w:name="_Hlk11229712"/>
      <w:r w:rsidRPr="00777C4E">
        <w:t xml:space="preserve">This method was used to allocate distribution </w:t>
      </w:r>
      <w:r>
        <w:t xml:space="preserve">demand </w:t>
      </w:r>
      <w:r w:rsidRPr="00777C4E">
        <w:t>costs at Level F (primary distribution) and Level G (</w:t>
      </w:r>
      <w:r w:rsidR="004B6277">
        <w:t xml:space="preserve">line transformers and </w:t>
      </w:r>
      <w:r w:rsidRPr="00777C4E">
        <w:t>secondary distribution)</w:t>
      </w:r>
      <w:r w:rsidR="00F55430">
        <w:t>.</w:t>
      </w:r>
      <w:r w:rsidRPr="00777C4E">
        <w:t xml:space="preserve">  </w:t>
      </w:r>
    </w:p>
    <w:bookmarkEnd w:id="11"/>
    <w:p w:rsidR="00B1115C" w:rsidRDefault="00B1115C" w:rsidP="009B21F2">
      <w:pPr>
        <w:pStyle w:val="Question"/>
        <w:tabs>
          <w:tab w:val="clear" w:pos="360"/>
          <w:tab w:val="clear" w:pos="720"/>
        </w:tabs>
        <w:spacing w:after="240"/>
      </w:pPr>
      <w:r w:rsidRPr="00777C4E">
        <w:t xml:space="preserve">Has the 12-CP method been used in previous proceedings before this Commission or </w:t>
      </w:r>
      <w:r w:rsidR="00481975">
        <w:t>BEFORE THE FERC</w:t>
      </w:r>
      <w:r w:rsidRPr="00777C4E">
        <w:t>?</w:t>
      </w:r>
    </w:p>
    <w:p w:rsidR="00477920" w:rsidRDefault="00B1115C" w:rsidP="00CD2C2C">
      <w:pPr>
        <w:pStyle w:val="Answer"/>
        <w:tabs>
          <w:tab w:val="num" w:pos="720"/>
        </w:tabs>
        <w:ind w:left="720"/>
      </w:pPr>
      <w:r w:rsidRPr="00777C4E">
        <w:t xml:space="preserve">Yes. </w:t>
      </w:r>
      <w:r>
        <w:t xml:space="preserve"> </w:t>
      </w:r>
      <w:r w:rsidRPr="00777C4E">
        <w:t>The 12-CP allocation methodology was used in GPSC Docket No. 3840 (filed in April 1989) where it was accepted by the Commission and reflected in its order</w:t>
      </w:r>
      <w:r w:rsidR="00477920">
        <w:t>.  Furthermore, the 12-CP allocation methodology</w:t>
      </w:r>
      <w:r w:rsidRPr="00777C4E">
        <w:t xml:space="preserve"> has been used in all subsequent filings before this Commission where a cost-of-service study has been required.</w:t>
      </w:r>
    </w:p>
    <w:p w:rsidR="008640E3" w:rsidRDefault="008640E3" w:rsidP="008640E3">
      <w:pPr>
        <w:pStyle w:val="Answer"/>
        <w:numPr>
          <w:ilvl w:val="0"/>
          <w:numId w:val="0"/>
        </w:numPr>
        <w:ind w:left="720"/>
      </w:pPr>
    </w:p>
    <w:p w:rsidR="00B1115C" w:rsidRDefault="00B1115C" w:rsidP="008640E3">
      <w:pPr>
        <w:pStyle w:val="Answer"/>
        <w:numPr>
          <w:ilvl w:val="0"/>
          <w:numId w:val="0"/>
        </w:numPr>
        <w:spacing w:after="240"/>
        <w:ind w:left="720"/>
      </w:pPr>
      <w:r w:rsidRPr="00777C4E">
        <w:t xml:space="preserve">In addition, 12-CP has been </w:t>
      </w:r>
      <w:r>
        <w:t>one of</w:t>
      </w:r>
      <w:r w:rsidRPr="00777C4E">
        <w:t xml:space="preserve"> FERC’s preferred allocation technique</w:t>
      </w:r>
      <w:r>
        <w:t xml:space="preserve">s </w:t>
      </w:r>
      <w:r w:rsidRPr="00777C4E">
        <w:t>for determining wholesale jurisdictional obligations</w:t>
      </w:r>
      <w:r>
        <w:t>, and</w:t>
      </w:r>
      <w:r w:rsidRPr="00777C4E">
        <w:t xml:space="preserve"> </w:t>
      </w:r>
      <w:r w:rsidR="00B211DC">
        <w:t xml:space="preserve">it </w:t>
      </w:r>
      <w:r w:rsidRPr="00777C4E">
        <w:t xml:space="preserve">has been used by </w:t>
      </w:r>
      <w:r w:rsidR="00B211DC">
        <w:t>the Company</w:t>
      </w:r>
      <w:r w:rsidRPr="00777C4E">
        <w:t xml:space="preserve"> in </w:t>
      </w:r>
      <w:r w:rsidR="00B211DC">
        <w:t xml:space="preserve">its </w:t>
      </w:r>
      <w:r w:rsidRPr="00777C4E">
        <w:t xml:space="preserve">filings before the FERC.  </w:t>
      </w:r>
      <w:r>
        <w:t xml:space="preserve">It has proven to be a common and popular allocation technique employed in numerous retail filings before many state commissions throughout the United States.  It is a straight-forward </w:t>
      </w:r>
      <w:r w:rsidRPr="00777C4E">
        <w:t>methodology</w:t>
      </w:r>
      <w:r>
        <w:t>,</w:t>
      </w:r>
      <w:r w:rsidRPr="00777C4E">
        <w:t xml:space="preserve"> has </w:t>
      </w:r>
      <w:r>
        <w:t>a strong</w:t>
      </w:r>
      <w:r w:rsidRPr="00777C4E">
        <w:t xml:space="preserve"> </w:t>
      </w:r>
      <w:r>
        <w:t xml:space="preserve">cost causative relationship, </w:t>
      </w:r>
      <w:r w:rsidRPr="00777C4E">
        <w:t xml:space="preserve">and </w:t>
      </w:r>
      <w:r>
        <w:t>has a history of providing stable and sound results.</w:t>
      </w:r>
      <w:r w:rsidR="00B211DC">
        <w:t xml:space="preserve">  </w:t>
      </w:r>
      <w:r w:rsidR="001D2CCA">
        <w:t xml:space="preserve">In addition, the </w:t>
      </w:r>
      <w:r w:rsidR="00B211DC" w:rsidRPr="009855E4">
        <w:t xml:space="preserve">load </w:t>
      </w:r>
      <w:r w:rsidR="001D2CCA" w:rsidRPr="009855E4">
        <w:t>tests</w:t>
      </w:r>
      <w:r w:rsidR="001D2CCA">
        <w:t>, utilized</w:t>
      </w:r>
      <w:r w:rsidR="00E9731E">
        <w:t xml:space="preserve"> by FERC</w:t>
      </w:r>
      <w:r w:rsidR="001D2CCA">
        <w:t xml:space="preserve"> to evaluate the feasibility of the 12-CP method for production and bulk transmission cost allocation, supports a 12-CP approach when applied to the test period loads in this filing.</w:t>
      </w:r>
    </w:p>
    <w:p w:rsidR="00B1115C" w:rsidRDefault="00B1115C" w:rsidP="009B21F2">
      <w:pPr>
        <w:pStyle w:val="Question"/>
        <w:tabs>
          <w:tab w:val="clear" w:pos="360"/>
          <w:tab w:val="clear" w:pos="720"/>
        </w:tabs>
        <w:spacing w:after="240"/>
      </w:pPr>
      <w:r>
        <w:t xml:space="preserve">Where </w:t>
      </w:r>
      <w:r w:rsidRPr="00777C4E">
        <w:t xml:space="preserve">is the 12-CP allocator </w:t>
      </w:r>
      <w:r w:rsidR="00B211DC">
        <w:t>APPLIED</w:t>
      </w:r>
      <w:r>
        <w:t xml:space="preserve"> in the studies</w:t>
      </w:r>
      <w:r w:rsidRPr="00777C4E">
        <w:t>?</w:t>
      </w:r>
    </w:p>
    <w:p w:rsidR="00525C55" w:rsidRPr="00525C55" w:rsidRDefault="00B1115C" w:rsidP="00525C55">
      <w:pPr>
        <w:pStyle w:val="Answer"/>
        <w:numPr>
          <w:ilvl w:val="0"/>
          <w:numId w:val="0"/>
        </w:numPr>
        <w:spacing w:after="240"/>
        <w:ind w:left="720" w:hanging="720"/>
        <w:rPr>
          <w:rFonts w:cs="Times New Roman"/>
        </w:rPr>
      </w:pPr>
      <w:r w:rsidRPr="00777C4E">
        <w:rPr>
          <w:rFonts w:cs="Times New Roman"/>
        </w:rPr>
        <w:t>A.</w:t>
      </w:r>
      <w:r w:rsidRPr="00777C4E">
        <w:rPr>
          <w:rFonts w:cs="Times New Roman"/>
        </w:rPr>
        <w:tab/>
        <w:t>A major application of the 12-CP is to a</w:t>
      </w:r>
      <w:r>
        <w:rPr>
          <w:rFonts w:cs="Times New Roman"/>
        </w:rPr>
        <w:t>llocate Production capital cost, and a portion of Transmission capital cost.</w:t>
      </w:r>
    </w:p>
    <w:p w:rsidR="00B1115C" w:rsidRPr="00A84F06" w:rsidRDefault="00B1115C" w:rsidP="009B21F2">
      <w:pPr>
        <w:pStyle w:val="Question"/>
        <w:tabs>
          <w:tab w:val="clear" w:pos="360"/>
          <w:tab w:val="clear" w:pos="720"/>
        </w:tabs>
        <w:spacing w:after="240"/>
      </w:pPr>
      <w:r w:rsidRPr="00A84F06">
        <w:t>How were production-related Operations and maintenance costs allocated?</w:t>
      </w:r>
    </w:p>
    <w:p w:rsidR="00B1115C" w:rsidRDefault="001B1FB7" w:rsidP="00B84FD8">
      <w:pPr>
        <w:pStyle w:val="Answer"/>
        <w:tabs>
          <w:tab w:val="num" w:pos="720"/>
        </w:tabs>
        <w:spacing w:after="240"/>
        <w:ind w:left="720"/>
      </w:pPr>
      <w:bookmarkStart w:id="12" w:name="_Hlk11229748"/>
      <w:r>
        <w:t xml:space="preserve">Production-related O&amp;M demand costs were allocated using the 12-CP methodology.  </w:t>
      </w:r>
      <w:bookmarkEnd w:id="12"/>
      <w:r w:rsidR="00B1115C" w:rsidRPr="00777C4E">
        <w:t xml:space="preserve">Production-related </w:t>
      </w:r>
      <w:r w:rsidR="00B1115C">
        <w:t xml:space="preserve">operations and maintenance running </w:t>
      </w:r>
      <w:r w:rsidR="00B1115C" w:rsidRPr="00777C4E">
        <w:t>costs</w:t>
      </w:r>
      <w:r w:rsidR="00B1115C">
        <w:t xml:space="preserve"> (i.e.</w:t>
      </w:r>
      <w:r w:rsidR="005D5529">
        <w:t>,</w:t>
      </w:r>
      <w:r w:rsidR="00B1115C">
        <w:t xml:space="preserve"> variable O&amp;M) were</w:t>
      </w:r>
      <w:r w:rsidR="00B1115C" w:rsidRPr="00777C4E">
        <w:t xml:space="preserve"> </w:t>
      </w:r>
      <w:r w:rsidR="00B1115C" w:rsidRPr="00777C4E">
        <w:lastRenderedPageBreak/>
        <w:t xml:space="preserve">allocated on the basis of the customer's annual energy consumption, adjusted for losses.  Fuel costs </w:t>
      </w:r>
      <w:r w:rsidR="00B1115C">
        <w:t>were</w:t>
      </w:r>
      <w:r w:rsidR="00B1115C" w:rsidRPr="00777C4E">
        <w:t xml:space="preserve"> directly identi</w:t>
      </w:r>
      <w:r w:rsidR="00B1115C">
        <w:t>fied on a rate basis and we</w:t>
      </w:r>
      <w:r w:rsidR="00B1115C" w:rsidRPr="00777C4E">
        <w:t xml:space="preserve">re directly offset by fuel revenue since the costs and revenues associated with fuel are handled in proceedings outside of </w:t>
      </w:r>
      <w:r w:rsidR="00430166">
        <w:t xml:space="preserve">a </w:t>
      </w:r>
      <w:r w:rsidR="00B1115C" w:rsidRPr="00777C4E">
        <w:t>general rate case proceeding.</w:t>
      </w:r>
      <w:r w:rsidR="00B1115C">
        <w:t xml:space="preserve">  </w:t>
      </w:r>
    </w:p>
    <w:p w:rsidR="00B1115C" w:rsidRDefault="00B1115C" w:rsidP="009B21F2">
      <w:pPr>
        <w:pStyle w:val="Question"/>
        <w:tabs>
          <w:tab w:val="clear" w:pos="360"/>
          <w:tab w:val="clear" w:pos="720"/>
        </w:tabs>
        <w:spacing w:after="240"/>
      </w:pPr>
      <w:r>
        <w:t xml:space="preserve">please explain </w:t>
      </w:r>
      <w:r w:rsidRPr="00777C4E">
        <w:t xml:space="preserve">How transmission-related capital costs </w:t>
      </w:r>
      <w:r>
        <w:t xml:space="preserve">were </w:t>
      </w:r>
      <w:r w:rsidRPr="00777C4E">
        <w:t>allocated?</w:t>
      </w:r>
    </w:p>
    <w:p w:rsidR="00B1115C" w:rsidRDefault="00B1115C" w:rsidP="00B84FD8">
      <w:pPr>
        <w:pStyle w:val="Answer"/>
        <w:tabs>
          <w:tab w:val="num" w:pos="720"/>
        </w:tabs>
        <w:spacing w:after="240"/>
        <w:ind w:left="720"/>
      </w:pPr>
      <w:r w:rsidRPr="00777C4E">
        <w:t xml:space="preserve">Transmission-related capital costs, just as production-related and other costs, </w:t>
      </w:r>
      <w:r>
        <w:t>were</w:t>
      </w:r>
      <w:r w:rsidRPr="00777C4E">
        <w:t xml:space="preserve"> allocated in the manner in which they are incurred.  With the exception of step-up substations</w:t>
      </w:r>
      <w:r w:rsidR="00430166">
        <w:t>,</w:t>
      </w:r>
      <w:r w:rsidRPr="00777C4E">
        <w:t xml:space="preserve"> which are </w:t>
      </w:r>
      <w:r>
        <w:t xml:space="preserve">linked to and </w:t>
      </w:r>
      <w:r w:rsidRPr="00777C4E">
        <w:t xml:space="preserve">allocated in the same manner as production-related costs, transmission costs are incurred based upon the need for transmission capacity.  Transmission capacity </w:t>
      </w:r>
      <w:r>
        <w:t>requirements are</w:t>
      </w:r>
      <w:r w:rsidRPr="00777C4E">
        <w:t xml:space="preserve"> a function of system load requirements </w:t>
      </w:r>
      <w:r>
        <w:t>along with a consideration of</w:t>
      </w:r>
      <w:r w:rsidRPr="00777C4E">
        <w:t xml:space="preserve"> ambient temperatures</w:t>
      </w:r>
      <w:r>
        <w:t>, and the bulk power flow needs</w:t>
      </w:r>
      <w:r w:rsidRPr="00777C4E">
        <w:t>.</w:t>
      </w:r>
    </w:p>
    <w:p w:rsidR="00B1115C" w:rsidRPr="000C2FC8" w:rsidRDefault="00B1115C" w:rsidP="0074555F">
      <w:pPr>
        <w:pStyle w:val="Question"/>
        <w:tabs>
          <w:tab w:val="clear" w:pos="360"/>
          <w:tab w:val="clear" w:pos="720"/>
        </w:tabs>
        <w:spacing w:after="240"/>
      </w:pPr>
      <w:r w:rsidRPr="000C2FC8">
        <w:t>how do ambient temperatures affect capacity?</w:t>
      </w:r>
    </w:p>
    <w:p w:rsidR="00B1115C" w:rsidRPr="000C2FC8" w:rsidRDefault="00B1115C" w:rsidP="00B84FD8">
      <w:pPr>
        <w:pStyle w:val="Answer"/>
        <w:tabs>
          <w:tab w:val="num" w:pos="720"/>
        </w:tabs>
        <w:spacing w:after="240"/>
        <w:ind w:left="720"/>
      </w:pPr>
      <w:r w:rsidRPr="000C2FC8">
        <w:t xml:space="preserve">The load carrying capability of the transmission system is inversely related to ambient temperatures.  </w:t>
      </w:r>
      <w:r w:rsidR="00033C12">
        <w:t>Thus</w:t>
      </w:r>
      <w:r w:rsidRPr="000C2FC8">
        <w:t>, the higher the temperature, the less the load carrying capability of a given line</w:t>
      </w:r>
      <w:r w:rsidR="00033C12">
        <w:t xml:space="preserve"> conductor</w:t>
      </w:r>
      <w:r w:rsidRPr="000C2FC8">
        <w:t xml:space="preserve">, substation breaker, etc.  The converse is also true, i.e., the lower the temperature, the higher the load carrying capability. </w:t>
      </w:r>
      <w:r w:rsidR="00033C12">
        <w:t xml:space="preserve"> </w:t>
      </w:r>
      <w:r w:rsidRPr="000C2FC8">
        <w:t>Temperatures across Georgia Power's transmission system are distinctly seasonal.  Given sufficient transmission capacity during the hot summer months, the transmission system will effectively realize a significantly greater transmission capability during the colder winter months.  Furthermore, load growth during the summer period will have a greater influence on the need for additional transmission capacity than would a comparable load growth in the winter months.  Consequently, to reflect the seasonal nature of transmission costs, some form of a summer peak period allocator is appropriate.  In this study, as in prior cost-of service studies filed with the Commission, the summer peak period allocator is based on an average of the coincident peak loads for the four summer months of June, July, August, and September.  This is referred to as the 4-CP allocation method.</w:t>
      </w:r>
    </w:p>
    <w:p w:rsidR="00B1115C" w:rsidRPr="000C2FC8" w:rsidRDefault="00B1115C" w:rsidP="0074555F">
      <w:pPr>
        <w:pStyle w:val="Question"/>
        <w:tabs>
          <w:tab w:val="clear" w:pos="360"/>
          <w:tab w:val="clear" w:pos="720"/>
        </w:tabs>
        <w:spacing w:after="240"/>
      </w:pPr>
      <w:r w:rsidRPr="000C2FC8">
        <w:lastRenderedPageBreak/>
        <w:t>Do all transmission-related costs have this temperature sensitivity thereby justifying a sole use of the 4-CP concept?</w:t>
      </w:r>
    </w:p>
    <w:p w:rsidR="00B1115C" w:rsidRPr="000C2FC8" w:rsidRDefault="00B1115C" w:rsidP="00B84FD8">
      <w:pPr>
        <w:pStyle w:val="Answer"/>
        <w:tabs>
          <w:tab w:val="num" w:pos="720"/>
        </w:tabs>
        <w:spacing w:after="240"/>
        <w:ind w:left="720"/>
      </w:pPr>
      <w:r w:rsidRPr="000C2FC8">
        <w:t>No, not all transmission costs are this temperature sensitive.  The 4-CP method is not applicable to step-up substation facilities, and the 4-CP method is only partially applicable to bulk power transmission-related capital costs.</w:t>
      </w:r>
    </w:p>
    <w:p w:rsidR="00B1115C" w:rsidRDefault="00B1115C" w:rsidP="0074555F">
      <w:pPr>
        <w:pStyle w:val="Question"/>
        <w:tabs>
          <w:tab w:val="clear" w:pos="360"/>
          <w:tab w:val="clear" w:pos="720"/>
        </w:tabs>
        <w:spacing w:after="240"/>
      </w:pPr>
      <w:r w:rsidRPr="00777C4E">
        <w:t>Why is the 4-CP method not applicable to step-up substations?</w:t>
      </w:r>
    </w:p>
    <w:p w:rsidR="00B1115C" w:rsidRDefault="00B1115C" w:rsidP="00B84FD8">
      <w:pPr>
        <w:pStyle w:val="Answer"/>
        <w:tabs>
          <w:tab w:val="num" w:pos="720"/>
        </w:tabs>
        <w:spacing w:after="240"/>
        <w:ind w:left="720"/>
      </w:pPr>
      <w:r w:rsidRPr="00777C4E">
        <w:t>Power is generated at low voltage and high current, but</w:t>
      </w:r>
      <w:r w:rsidR="00033C12">
        <w:t xml:space="preserve"> it</w:t>
      </w:r>
      <w:r w:rsidRPr="00777C4E">
        <w:t xml:space="preserve"> is transmitted most efficiently at a higher voltage and lower current. </w:t>
      </w:r>
      <w:r>
        <w:t xml:space="preserve"> </w:t>
      </w:r>
      <w:r w:rsidRPr="00777C4E">
        <w:t xml:space="preserve">The step-up substations provide this </w:t>
      </w:r>
      <w:r w:rsidR="00033C12">
        <w:t>voltage</w:t>
      </w:r>
      <w:r w:rsidR="00033C12" w:rsidRPr="00777C4E">
        <w:t xml:space="preserve"> </w:t>
      </w:r>
      <w:r w:rsidRPr="00777C4E">
        <w:t>transformation function.</w:t>
      </w:r>
      <w:r>
        <w:t xml:space="preserve"> </w:t>
      </w:r>
      <w:r w:rsidRPr="00777C4E">
        <w:t xml:space="preserve"> </w:t>
      </w:r>
      <w:r w:rsidR="00F2200C" w:rsidRPr="00777C4E">
        <w:t>The</w:t>
      </w:r>
      <w:r w:rsidR="00F2200C">
        <w:t xml:space="preserve"> step-up substations</w:t>
      </w:r>
      <w:r w:rsidR="00F2200C" w:rsidRPr="00777C4E">
        <w:t xml:space="preserve"> </w:t>
      </w:r>
      <w:r w:rsidRPr="00777C4E">
        <w:t xml:space="preserve">do not provide for the transfer of power from one geographical area to another.  </w:t>
      </w:r>
      <w:r w:rsidR="00F2200C">
        <w:t>S</w:t>
      </w:r>
      <w:r w:rsidRPr="00777C4E">
        <w:t xml:space="preserve">tep-up substations exist </w:t>
      </w:r>
      <w:r w:rsidRPr="009855E4">
        <w:t>only</w:t>
      </w:r>
      <w:r w:rsidRPr="00777C4E">
        <w:t xml:space="preserve"> at generating plant sites</w:t>
      </w:r>
      <w:r w:rsidR="00F2200C">
        <w:t>,</w:t>
      </w:r>
      <w:r w:rsidRPr="00777C4E">
        <w:t xml:space="preserve"> and </w:t>
      </w:r>
      <w:r w:rsidRPr="009855E4">
        <w:t>all</w:t>
      </w:r>
      <w:r w:rsidRPr="00777C4E">
        <w:t xml:space="preserve"> generating plants have step-up substations.  Consequently, it </w:t>
      </w:r>
      <w:r w:rsidR="00F2200C">
        <w:t>is</w:t>
      </w:r>
      <w:r w:rsidRPr="00777C4E">
        <w:t xml:space="preserve"> appropriate to allocate the capital costs associated with step-up substations in the same manner as the capital costs associated with the generating plants</w:t>
      </w:r>
      <w:r w:rsidR="00F2200C">
        <w:t>,</w:t>
      </w:r>
      <w:r w:rsidRPr="00777C4E">
        <w:t xml:space="preserve"> which these substations </w:t>
      </w:r>
      <w:r w:rsidR="00F2200C">
        <w:t xml:space="preserve">directly </w:t>
      </w:r>
      <w:r w:rsidRPr="00777C4E">
        <w:t>support</w:t>
      </w:r>
      <w:r w:rsidR="00F2200C">
        <w:t>.  Thus</w:t>
      </w:r>
      <w:r w:rsidRPr="00777C4E">
        <w:t xml:space="preserve">, </w:t>
      </w:r>
      <w:bookmarkStart w:id="13" w:name="_Hlk11229866"/>
      <w:r w:rsidRPr="00777C4E">
        <w:t xml:space="preserve">the </w:t>
      </w:r>
      <w:r w:rsidR="00F2200C">
        <w:t xml:space="preserve">Company </w:t>
      </w:r>
      <w:r w:rsidR="002E37CC">
        <w:t xml:space="preserve">utilizes </w:t>
      </w:r>
      <w:r w:rsidR="00F2200C">
        <w:t xml:space="preserve">the </w:t>
      </w:r>
      <w:r w:rsidRPr="00777C4E">
        <w:t>12-CP allocation method</w:t>
      </w:r>
      <w:r w:rsidR="00F2200C">
        <w:t xml:space="preserve"> for allocating the cos</w:t>
      </w:r>
      <w:r w:rsidR="002E37CC">
        <w:t>t</w:t>
      </w:r>
      <w:r w:rsidR="00F2200C">
        <w:t xml:space="preserve"> of step-up substations</w:t>
      </w:r>
      <w:r w:rsidRPr="00777C4E">
        <w:t>.</w:t>
      </w:r>
      <w:r w:rsidR="00C04D7A">
        <w:t xml:space="preserve">   </w:t>
      </w:r>
      <w:bookmarkEnd w:id="13"/>
    </w:p>
    <w:p w:rsidR="00FF4C23" w:rsidRDefault="00B1115C" w:rsidP="0074555F">
      <w:pPr>
        <w:pStyle w:val="Question"/>
        <w:tabs>
          <w:tab w:val="clear" w:pos="360"/>
          <w:tab w:val="clear" w:pos="720"/>
        </w:tabs>
        <w:spacing w:after="240"/>
      </w:pPr>
      <w:r w:rsidRPr="00777C4E">
        <w:t>Why is the 4-CP method applicable only in part for the allocation of bulk power transmission-related capital costs</w:t>
      </w:r>
      <w:r w:rsidR="00FF4C23">
        <w:t>?</w:t>
      </w:r>
    </w:p>
    <w:p w:rsidR="005F7A86" w:rsidRPr="005F7A86" w:rsidRDefault="005F7A86" w:rsidP="001A72BB">
      <w:pPr>
        <w:pStyle w:val="Question"/>
        <w:numPr>
          <w:ilvl w:val="0"/>
          <w:numId w:val="17"/>
        </w:numPr>
        <w:tabs>
          <w:tab w:val="clear" w:pos="720"/>
        </w:tabs>
        <w:spacing w:after="240"/>
        <w:ind w:hanging="720"/>
        <w:rPr>
          <w:rFonts w:ascii="Times New Roman" w:hAnsi="Times New Roman"/>
          <w:b w:val="0"/>
          <w:caps w:val="0"/>
        </w:rPr>
      </w:pPr>
      <w:r>
        <w:rPr>
          <w:rFonts w:ascii="Times New Roman" w:hAnsi="Times New Roman"/>
          <w:b w:val="0"/>
          <w:caps w:val="0"/>
        </w:rPr>
        <w:t xml:space="preserve">To </w:t>
      </w:r>
      <w:r w:rsidRPr="005F7A86">
        <w:rPr>
          <w:rFonts w:ascii="Times New Roman" w:hAnsi="Times New Roman"/>
          <w:b w:val="0"/>
          <w:caps w:val="0"/>
        </w:rPr>
        <w:t xml:space="preserve">simply use the 4-CP method exclusively to allocate these costs would not give appropriate consideration to the planning and operating interrelationship that exists between the bulk power transmission system and the generating plants.  In general, the bulk power transmission carries the generated power to the load centers through a network system.  To this end, production plant generation helps support bulk power flows, provides voltage support and frequency maintenance, and imparts a certain </w:t>
      </w:r>
      <w:r w:rsidRPr="005F7A86">
        <w:rPr>
          <w:rFonts w:ascii="Times New Roman" w:hAnsi="Times New Roman"/>
          <w:b w:val="0"/>
          <w:caps w:val="0"/>
        </w:rPr>
        <w:lastRenderedPageBreak/>
        <w:t>inertial stability to the power flows across the transmission system.  The transmission system helps support generation by tying generating units together for reliability and stability purposes and provides a dynamic medium for the delivery of power across the system through a grid connected to many alternate power sources and paths.  While peak loads may have the greater impact on transmission planning, it is also important to recognize this very real relationship between generation and bulk power transmission facilities.  Consistent with prior cost-of-service studies, the Company has filed with the Commission, the bulk power transmission system costs have been allocated using a 20 percent / 80 percent weighted average of the 12-CP / 4-CP allocators.  Lower voltage service levels of the transmission function are allocated upon the 4-CP or NCP allocators</w:t>
      </w:r>
      <w:bookmarkStart w:id="14" w:name="_Hlk11936979"/>
      <w:r>
        <w:rPr>
          <w:rFonts w:ascii="Times New Roman" w:hAnsi="Times New Roman"/>
          <w:b w:val="0"/>
          <w:caps w:val="0"/>
        </w:rPr>
        <w:t xml:space="preserve"> </w:t>
      </w:r>
      <w:r w:rsidR="00B1115C" w:rsidRPr="005F7A86">
        <w:rPr>
          <w:rFonts w:ascii="Times New Roman" w:hAnsi="Times New Roman"/>
          <w:b w:val="0"/>
          <w:caps w:val="0"/>
        </w:rPr>
        <w:t>depending upon specific voltage service level.</w:t>
      </w:r>
    </w:p>
    <w:bookmarkEnd w:id="14"/>
    <w:p w:rsidR="00BD670B" w:rsidRDefault="00B1115C" w:rsidP="00BD670B">
      <w:pPr>
        <w:pStyle w:val="Question"/>
        <w:tabs>
          <w:tab w:val="clear" w:pos="360"/>
          <w:tab w:val="clear" w:pos="720"/>
        </w:tabs>
        <w:spacing w:after="240"/>
      </w:pPr>
      <w:r w:rsidRPr="00777C4E">
        <w:t xml:space="preserve">How </w:t>
      </w:r>
      <w:r>
        <w:t>were</w:t>
      </w:r>
      <w:r w:rsidRPr="00777C4E">
        <w:t xml:space="preserve"> the distribution-related capital costs allocated within the cost-of-service </w:t>
      </w:r>
      <w:r w:rsidR="005F7A86" w:rsidRPr="00777C4E">
        <w:t>STUDY?</w:t>
      </w:r>
    </w:p>
    <w:p w:rsidR="00BD670B" w:rsidRDefault="00BD670B" w:rsidP="001A72BB">
      <w:pPr>
        <w:pStyle w:val="Question"/>
        <w:numPr>
          <w:ilvl w:val="1"/>
          <w:numId w:val="15"/>
        </w:numPr>
        <w:tabs>
          <w:tab w:val="clear" w:pos="720"/>
          <w:tab w:val="clear" w:pos="2160"/>
        </w:tabs>
        <w:spacing w:after="240"/>
        <w:ind w:left="720" w:hanging="720"/>
        <w:rPr>
          <w:rFonts w:ascii="Times New Roman" w:hAnsi="Times New Roman"/>
          <w:b w:val="0"/>
          <w:caps w:val="0"/>
        </w:rPr>
      </w:pPr>
      <w:r w:rsidRPr="00BD670B">
        <w:rPr>
          <w:rFonts w:ascii="Times New Roman" w:hAnsi="Times New Roman"/>
          <w:b w:val="0"/>
          <w:caps w:val="0"/>
        </w:rPr>
        <w:t>Distribution-related costs were first segregated between those costs which are directly related to the requirements to simply set up a customer to be served (customer costs) and those costs which are directly related to the customers’ load requirements (demand costs), as previously discussed.  As in prior proceedings before this Commission, customer-related costs were allocated based on the average number of customers.  Depending upon the voltage level of service, distribution demand-related capital costs were allocated on either the 4-</w:t>
      </w:r>
      <w:r w:rsidR="004222A5">
        <w:rPr>
          <w:rFonts w:ascii="Times New Roman" w:hAnsi="Times New Roman"/>
          <w:b w:val="0"/>
          <w:caps w:val="0"/>
        </w:rPr>
        <w:t xml:space="preserve">CP methodology, or the rate group’s NCP demands, depending upon the particular functions of the facilities within the </w:t>
      </w:r>
      <w:r w:rsidR="002369F6">
        <w:rPr>
          <w:rFonts w:ascii="Times New Roman" w:hAnsi="Times New Roman"/>
          <w:b w:val="0"/>
          <w:caps w:val="0"/>
        </w:rPr>
        <w:t>distribution system.</w:t>
      </w:r>
    </w:p>
    <w:p w:rsidR="009F0E14" w:rsidRPr="00BD670B" w:rsidRDefault="009F0E14" w:rsidP="009F0E14">
      <w:pPr>
        <w:pStyle w:val="Question"/>
        <w:numPr>
          <w:ilvl w:val="0"/>
          <w:numId w:val="0"/>
        </w:numPr>
        <w:tabs>
          <w:tab w:val="clear" w:pos="720"/>
        </w:tabs>
        <w:spacing w:after="240"/>
        <w:ind w:left="720" w:hanging="720"/>
        <w:rPr>
          <w:rFonts w:ascii="Times New Roman" w:hAnsi="Times New Roman"/>
          <w:b w:val="0"/>
          <w:caps w:val="0"/>
        </w:rPr>
      </w:pPr>
      <w:r w:rsidRPr="009F0E14">
        <w:rPr>
          <w:rFonts w:ascii="Times New Roman" w:hAnsi="Times New Roman"/>
          <w:caps w:val="0"/>
        </w:rPr>
        <w:t>Q.</w:t>
      </w:r>
      <w:r>
        <w:rPr>
          <w:rFonts w:ascii="Times New Roman" w:hAnsi="Times New Roman"/>
          <w:b w:val="0"/>
          <w:caps w:val="0"/>
        </w:rPr>
        <w:tab/>
      </w:r>
      <w:r w:rsidRPr="00777C4E">
        <w:t>Why is the NCP method appropriate to allocate distribution costs at lower distribution levels?</w:t>
      </w:r>
    </w:p>
    <w:p w:rsidR="00B1115C" w:rsidRDefault="00B1115C" w:rsidP="00B84FD8">
      <w:pPr>
        <w:pStyle w:val="Answer"/>
        <w:tabs>
          <w:tab w:val="num" w:pos="720"/>
        </w:tabs>
        <w:spacing w:after="240"/>
        <w:ind w:left="720"/>
      </w:pPr>
      <w:r w:rsidRPr="00777C4E">
        <w:t xml:space="preserve">The NCP method is based on determining cost responsibility to each </w:t>
      </w:r>
      <w:r>
        <w:t xml:space="preserve">rate </w:t>
      </w:r>
      <w:r w:rsidRPr="00777C4E">
        <w:t>group on the basis of the rate groups’ maximum NCP demands rather than their contribution to the system peak.  This allocator is particularly appropriate at the lower service levels of distribution service</w:t>
      </w:r>
      <w:r>
        <w:t xml:space="preserve">, which is comprised of primary </w:t>
      </w:r>
      <w:r w:rsidR="0011641D">
        <w:t>line</w:t>
      </w:r>
      <w:r>
        <w:t xml:space="preserve">, line transformers, and </w:t>
      </w:r>
      <w:r>
        <w:lastRenderedPageBreak/>
        <w:t xml:space="preserve">secondary </w:t>
      </w:r>
      <w:r w:rsidR="0011641D">
        <w:t>lines</w:t>
      </w:r>
      <w:r>
        <w:t>,</w:t>
      </w:r>
      <w:r w:rsidRPr="00777C4E">
        <w:t xml:space="preserve"> since the capital costs at these levels are essentially designed to serve the </w:t>
      </w:r>
      <w:r>
        <w:t>rates</w:t>
      </w:r>
      <w:r w:rsidRPr="00777C4E">
        <w:t>’ maximum</w:t>
      </w:r>
      <w:r>
        <w:t xml:space="preserve"> </w:t>
      </w:r>
      <w:r w:rsidRPr="00777C4E">
        <w:t>non-coincident peak loads.</w:t>
      </w:r>
    </w:p>
    <w:p w:rsidR="00B1115C" w:rsidRDefault="00B1115C" w:rsidP="009F0E14">
      <w:pPr>
        <w:pStyle w:val="Question"/>
        <w:tabs>
          <w:tab w:val="clear" w:pos="360"/>
          <w:tab w:val="clear" w:pos="720"/>
        </w:tabs>
        <w:spacing w:after="240"/>
      </w:pPr>
      <w:r w:rsidRPr="00777C4E">
        <w:t>Has this NCP allocation method been used previously?</w:t>
      </w:r>
    </w:p>
    <w:p w:rsidR="00B1115C" w:rsidRDefault="00B1115C" w:rsidP="00B84FD8">
      <w:pPr>
        <w:pStyle w:val="Answer"/>
        <w:tabs>
          <w:tab w:val="num" w:pos="720"/>
        </w:tabs>
        <w:spacing w:after="240"/>
        <w:ind w:left="720"/>
      </w:pPr>
      <w:r w:rsidRPr="00777C4E">
        <w:t xml:space="preserve">Yes, </w:t>
      </w:r>
      <w:r>
        <w:t>it</w:t>
      </w:r>
      <w:r w:rsidRPr="00777C4E">
        <w:t xml:space="preserve"> has been used in </w:t>
      </w:r>
      <w:r w:rsidR="00C04D7A">
        <w:t>the Company</w:t>
      </w:r>
      <w:r w:rsidRPr="00777C4E">
        <w:t xml:space="preserve">’s filings </w:t>
      </w:r>
      <w:r>
        <w:t>since</w:t>
      </w:r>
      <w:r w:rsidRPr="00777C4E">
        <w:t xml:space="preserve"> the 1990’s </w:t>
      </w:r>
      <w:r>
        <w:t>and i</w:t>
      </w:r>
      <w:r w:rsidRPr="00777C4E">
        <w:t>s still appropriate</w:t>
      </w:r>
      <w:r>
        <w:t xml:space="preserve"> for this filing</w:t>
      </w:r>
      <w:r w:rsidRPr="00777C4E">
        <w:t>.</w:t>
      </w:r>
    </w:p>
    <w:p w:rsidR="00B1115C" w:rsidRDefault="00B1115C" w:rsidP="009F0E14">
      <w:pPr>
        <w:pStyle w:val="Question"/>
        <w:tabs>
          <w:tab w:val="clear" w:pos="360"/>
          <w:tab w:val="clear" w:pos="720"/>
        </w:tabs>
        <w:spacing w:after="240"/>
      </w:pPr>
      <w:r>
        <w:t>D</w:t>
      </w:r>
      <w:r w:rsidRPr="00777C4E">
        <w:t xml:space="preserve">oes the degree of load accuracy for the compilation of </w:t>
      </w:r>
      <w:r>
        <w:t xml:space="preserve">these various </w:t>
      </w:r>
      <w:r w:rsidRPr="00777C4E">
        <w:t xml:space="preserve">allocators adhere to the level required of previous </w:t>
      </w:r>
      <w:r>
        <w:t>cost-of-service</w:t>
      </w:r>
      <w:r w:rsidRPr="00777C4E">
        <w:t xml:space="preserve"> studies?</w:t>
      </w:r>
    </w:p>
    <w:p w:rsidR="00B1115C" w:rsidRDefault="00B1115C" w:rsidP="00B84FD8">
      <w:pPr>
        <w:pStyle w:val="Answer"/>
        <w:tabs>
          <w:tab w:val="num" w:pos="720"/>
        </w:tabs>
        <w:spacing w:after="240"/>
        <w:ind w:left="720"/>
      </w:pPr>
      <w:r w:rsidRPr="00777C4E">
        <w:t>Yes.</w:t>
      </w:r>
    </w:p>
    <w:p w:rsidR="00B1115C" w:rsidRDefault="00B1115C" w:rsidP="009F0E14">
      <w:pPr>
        <w:pStyle w:val="Question"/>
        <w:tabs>
          <w:tab w:val="clear" w:pos="360"/>
          <w:tab w:val="clear" w:pos="720"/>
        </w:tabs>
        <w:spacing w:after="240"/>
      </w:pPr>
      <w:r w:rsidRPr="00777C4E">
        <w:t>How have you allocated costs for Georgia Power’s real-time pricing (“RTP”) customers and load in this cost-of-service study?</w:t>
      </w:r>
    </w:p>
    <w:p w:rsidR="00921DCB" w:rsidRDefault="00B1115C" w:rsidP="00921DCB">
      <w:pPr>
        <w:pStyle w:val="Answer"/>
        <w:tabs>
          <w:tab w:val="num" w:pos="720"/>
        </w:tabs>
        <w:ind w:left="720"/>
      </w:pPr>
      <w:r w:rsidRPr="00777C4E">
        <w:t xml:space="preserve">The RTP rates are different from the other electric service rates in that the RTP rates consist of an embedded </w:t>
      </w:r>
      <w:r>
        <w:t xml:space="preserve">rate </w:t>
      </w:r>
      <w:r w:rsidRPr="00777C4E">
        <w:t>portion</w:t>
      </w:r>
      <w:r w:rsidR="0071655D">
        <w:t>, which is priced under a standard rate schedule,</w:t>
      </w:r>
      <w:r w:rsidRPr="00777C4E">
        <w:t xml:space="preserve"> </w:t>
      </w:r>
      <w:r w:rsidR="0071655D">
        <w:t>plus</w:t>
      </w:r>
      <w:r w:rsidRPr="00777C4E">
        <w:t xml:space="preserve"> a marginal or incremental portion</w:t>
      </w:r>
      <w:r w:rsidR="0071655D">
        <w:t>, which is</w:t>
      </w:r>
      <w:r w:rsidRPr="00777C4E">
        <w:t xml:space="preserve"> </w:t>
      </w:r>
      <w:r>
        <w:t>priced on</w:t>
      </w:r>
      <w:r w:rsidRPr="00777C4E">
        <w:t xml:space="preserve"> </w:t>
      </w:r>
      <w:r w:rsidR="0071655D">
        <w:t xml:space="preserve">the basis of particular </w:t>
      </w:r>
      <w:r w:rsidRPr="00777C4E">
        <w:t xml:space="preserve">hourly </w:t>
      </w:r>
      <w:r w:rsidR="0071655D">
        <w:t>production and transmission costs</w:t>
      </w:r>
      <w:r w:rsidRPr="00777C4E">
        <w:t xml:space="preserve">.  RTP load has been treated for the purposes of developing load allocators in the same manner as </w:t>
      </w:r>
      <w:r w:rsidRPr="004B0D92">
        <w:t xml:space="preserve">the </w:t>
      </w:r>
      <w:r w:rsidR="0078525C">
        <w:t xml:space="preserve">2004, </w:t>
      </w:r>
      <w:r w:rsidRPr="009855E4">
        <w:t>2007</w:t>
      </w:r>
      <w:r w:rsidR="00207D3F" w:rsidRPr="009855E4">
        <w:t>, 2010 and 2013</w:t>
      </w:r>
      <w:r w:rsidRPr="004B0D92">
        <w:t xml:space="preserve"> Rate Case</w:t>
      </w:r>
      <w:r w:rsidR="00207D3F" w:rsidRPr="004B0D92">
        <w:t>s</w:t>
      </w:r>
      <w:r w:rsidRPr="004B0D92">
        <w:t>.  The C</w:t>
      </w:r>
      <w:r w:rsidRPr="00F97334">
        <w:t>ustomer Baseline Load (</w:t>
      </w:r>
      <w:r w:rsidR="00BB050C">
        <w:t>“</w:t>
      </w:r>
      <w:r w:rsidRPr="00F97334">
        <w:t>CBL</w:t>
      </w:r>
      <w:r w:rsidR="00BB050C">
        <w:t>”</w:t>
      </w:r>
      <w:r w:rsidRPr="00F97334">
        <w:t>), which is priced using</w:t>
      </w:r>
      <w:r w:rsidRPr="00731250">
        <w:t xml:space="preserve"> embedded</w:t>
      </w:r>
      <w:r w:rsidRPr="00777C4E">
        <w:t xml:space="preserve"> rates, was included in the load allocators.  The revenues and expenses associated with incremental RTP sales were </w:t>
      </w:r>
      <w:r w:rsidR="00A23EBC">
        <w:t xml:space="preserve">directly </w:t>
      </w:r>
      <w:r w:rsidRPr="00777C4E">
        <w:t xml:space="preserve">assigned to the RTP customers.  </w:t>
      </w:r>
    </w:p>
    <w:p w:rsidR="002369F6" w:rsidRDefault="002369F6" w:rsidP="002369F6">
      <w:pPr>
        <w:pStyle w:val="Answer"/>
        <w:numPr>
          <w:ilvl w:val="0"/>
          <w:numId w:val="0"/>
        </w:numPr>
        <w:ind w:left="720"/>
      </w:pPr>
    </w:p>
    <w:p w:rsidR="00B1115C" w:rsidRDefault="00B1115C" w:rsidP="002369F6">
      <w:pPr>
        <w:pStyle w:val="Answer"/>
        <w:numPr>
          <w:ilvl w:val="0"/>
          <w:numId w:val="0"/>
        </w:numPr>
        <w:spacing w:after="240"/>
        <w:ind w:left="720"/>
      </w:pPr>
      <w:r w:rsidRPr="00777C4E">
        <w:t xml:space="preserve">Because we are specifically identifying the RTP rates, it is necessary to allocate and assign all appropriate embedded and marginal costs and revenues to the RTP rates to ensure a clear </w:t>
      </w:r>
      <w:r w:rsidR="00A23EBC">
        <w:t>measure</w:t>
      </w:r>
      <w:r w:rsidR="00A23EBC" w:rsidRPr="00777C4E">
        <w:t xml:space="preserve"> </w:t>
      </w:r>
      <w:r w:rsidRPr="00777C4E">
        <w:t xml:space="preserve">of the rate of return </w:t>
      </w:r>
      <w:r>
        <w:t>on</w:t>
      </w:r>
      <w:r w:rsidRPr="00777C4E">
        <w:t xml:space="preserve"> investment.  We have done this by allocating embedded </w:t>
      </w:r>
      <w:r w:rsidRPr="00F05E4A">
        <w:rPr>
          <w:color w:val="000000"/>
        </w:rPr>
        <w:t>Production and Transmission</w:t>
      </w:r>
      <w:r>
        <w:rPr>
          <w:color w:val="FF0000"/>
        </w:rPr>
        <w:t xml:space="preserve"> </w:t>
      </w:r>
      <w:r w:rsidRPr="00777C4E">
        <w:t>costs to the RTP customers based on their CBL load</w:t>
      </w:r>
      <w:r>
        <w:t>.  We a</w:t>
      </w:r>
      <w:r>
        <w:rPr>
          <w:color w:val="000000"/>
        </w:rPr>
        <w:t xml:space="preserve">llocated embedded </w:t>
      </w:r>
      <w:r w:rsidRPr="00F05E4A">
        <w:rPr>
          <w:color w:val="000000"/>
        </w:rPr>
        <w:t>Distribution costs on their total load</w:t>
      </w:r>
      <w:r w:rsidRPr="00777C4E">
        <w:t xml:space="preserve"> just as we </w:t>
      </w:r>
      <w:r w:rsidRPr="00777C4E">
        <w:lastRenderedPageBreak/>
        <w:t>do all embedded firm service load</w:t>
      </w:r>
      <w:r>
        <w:t>.  We then</w:t>
      </w:r>
      <w:r w:rsidRPr="00777C4E">
        <w:t xml:space="preserve"> assigned </w:t>
      </w:r>
      <w:r>
        <w:t xml:space="preserve">total </w:t>
      </w:r>
      <w:r w:rsidRPr="00777C4E">
        <w:t>RTP revenue a</w:t>
      </w:r>
      <w:r>
        <w:t xml:space="preserve">s well as the </w:t>
      </w:r>
      <w:r w:rsidRPr="00777C4E">
        <w:t xml:space="preserve">marginal costs </w:t>
      </w:r>
      <w:r w:rsidRPr="008361FE">
        <w:rPr>
          <w:color w:val="000000"/>
        </w:rPr>
        <w:t>of Production and Transmission</w:t>
      </w:r>
      <w:r>
        <w:rPr>
          <w:color w:val="FF0000"/>
        </w:rPr>
        <w:t xml:space="preserve"> </w:t>
      </w:r>
      <w:r w:rsidRPr="00777C4E">
        <w:t>to the RTP customers</w:t>
      </w:r>
      <w:r w:rsidR="0091744E">
        <w:t>,</w:t>
      </w:r>
      <w:r w:rsidRPr="00777C4E">
        <w:t xml:space="preserve"> </w:t>
      </w:r>
      <w:r>
        <w:t>which w</w:t>
      </w:r>
      <w:r w:rsidRPr="00777C4E">
        <w:t xml:space="preserve">as identified through system lambda costs, marginal reliability costs, marginal transmission costs, and marginal cost of system losses.  </w:t>
      </w:r>
      <w:r>
        <w:t xml:space="preserve">This assignment of marginal cost to RTP customers creates a commensurate reduction in embedded cost to serve non-RTP rates.  </w:t>
      </w:r>
      <w:r w:rsidRPr="00777C4E">
        <w:t xml:space="preserve">This gives an accurate accounting for the costs associated with serving RTP customers </w:t>
      </w:r>
      <w:r>
        <w:t>and</w:t>
      </w:r>
      <w:r w:rsidRPr="00777C4E">
        <w:t xml:space="preserve"> the revenue collected from serving that load.</w:t>
      </w:r>
    </w:p>
    <w:p w:rsidR="00B1115C" w:rsidRPr="00490B06" w:rsidRDefault="00B1115C" w:rsidP="0002783A">
      <w:pPr>
        <w:pStyle w:val="Answer"/>
        <w:numPr>
          <w:ilvl w:val="0"/>
          <w:numId w:val="0"/>
        </w:numPr>
        <w:spacing w:after="240"/>
        <w:ind w:left="720" w:hanging="720"/>
        <w:rPr>
          <w:b/>
        </w:rPr>
      </w:pPr>
      <w:r w:rsidRPr="00276ED7">
        <w:rPr>
          <w:b/>
        </w:rPr>
        <w:t>Q.</w:t>
      </w:r>
      <w:r>
        <w:tab/>
      </w:r>
      <w:r w:rsidRPr="00490B06">
        <w:rPr>
          <w:b/>
        </w:rPr>
        <w:t>D</w:t>
      </w:r>
      <w:r>
        <w:rPr>
          <w:b/>
        </w:rPr>
        <w:t>O YOU BELIEVE THIS IS THE CORRECT COST TREATMENT FOR RTP?</w:t>
      </w:r>
    </w:p>
    <w:p w:rsidR="00B1115C" w:rsidRPr="009855E4" w:rsidRDefault="00B1115C" w:rsidP="001A72BB">
      <w:pPr>
        <w:pStyle w:val="Answer"/>
        <w:keepNext/>
        <w:numPr>
          <w:ilvl w:val="0"/>
          <w:numId w:val="16"/>
        </w:numPr>
        <w:spacing w:after="240"/>
        <w:ind w:hanging="720"/>
        <w:rPr>
          <w:rFonts w:ascii="Times New Roman Bold" w:hAnsi="Times New Roman Bold"/>
          <w:b/>
          <w:caps/>
        </w:rPr>
      </w:pPr>
      <w:r w:rsidRPr="00777C4E">
        <w:t xml:space="preserve">Yes.  </w:t>
      </w:r>
      <w:r w:rsidR="001E6217">
        <w:t>Since</w:t>
      </w:r>
      <w:r w:rsidRPr="00777C4E">
        <w:t xml:space="preserve"> RTP prices are based upon </w:t>
      </w:r>
      <w:r w:rsidRPr="00D960E2">
        <w:t>marginal</w:t>
      </w:r>
      <w:r w:rsidRPr="00777C4E">
        <w:t xml:space="preserve"> cost, embedded </w:t>
      </w:r>
      <w:r w:rsidRPr="00101512">
        <w:rPr>
          <w:color w:val="000000"/>
        </w:rPr>
        <w:t>Production and Transmission</w:t>
      </w:r>
      <w:r>
        <w:rPr>
          <w:color w:val="FF0000"/>
        </w:rPr>
        <w:t xml:space="preserve"> </w:t>
      </w:r>
      <w:r w:rsidRPr="00777C4E">
        <w:t>cost</w:t>
      </w:r>
      <w:r w:rsidR="00D960E2">
        <w:t>s</w:t>
      </w:r>
      <w:r w:rsidRPr="00777C4E">
        <w:t xml:space="preserve"> </w:t>
      </w:r>
      <w:r w:rsidR="00D960E2">
        <w:t xml:space="preserve">should not be allocated </w:t>
      </w:r>
      <w:r w:rsidRPr="00777C4E">
        <w:t xml:space="preserve">to incremental RTP load.  </w:t>
      </w:r>
    </w:p>
    <w:p w:rsidR="00B1115C" w:rsidRDefault="0002783A" w:rsidP="00921DCB">
      <w:pPr>
        <w:spacing w:after="240" w:line="480" w:lineRule="exact"/>
        <w:ind w:left="744" w:hanging="744"/>
        <w:jc w:val="center"/>
        <w:rPr>
          <w:b/>
          <w:u w:val="single"/>
        </w:rPr>
      </w:pPr>
      <w:r>
        <w:rPr>
          <w:b/>
          <w:u w:val="single"/>
        </w:rPr>
        <w:t>C</w:t>
      </w:r>
      <w:r w:rsidR="00B1115C">
        <w:rPr>
          <w:b/>
          <w:u w:val="single"/>
        </w:rPr>
        <w:t>OST-OF-SERVICE STUDY</w:t>
      </w:r>
      <w:r w:rsidR="00B1115C" w:rsidRPr="00777C4E">
        <w:rPr>
          <w:b/>
          <w:u w:val="single"/>
        </w:rPr>
        <w:t xml:space="preserve"> OUTLINE</w:t>
      </w:r>
    </w:p>
    <w:p w:rsidR="00B1115C" w:rsidRDefault="00B1115C" w:rsidP="00921DCB">
      <w:pPr>
        <w:pStyle w:val="Answer"/>
        <w:numPr>
          <w:ilvl w:val="0"/>
          <w:numId w:val="0"/>
        </w:numPr>
        <w:tabs>
          <w:tab w:val="left" w:pos="720"/>
        </w:tabs>
        <w:spacing w:after="240"/>
        <w:ind w:left="720" w:hanging="720"/>
      </w:pPr>
      <w:r w:rsidRPr="00276ED7">
        <w:rPr>
          <w:b/>
        </w:rPr>
        <w:t>Q.</w:t>
      </w:r>
      <w:r>
        <w:tab/>
      </w:r>
      <w:r w:rsidRPr="00276ED7">
        <w:rPr>
          <w:b/>
        </w:rPr>
        <w:t>PLEASE EXPLAIN THE GENERAL MAKE-UP OF EACH COST-OF-SERVICE STUDY.</w:t>
      </w:r>
    </w:p>
    <w:p w:rsidR="00B1115C" w:rsidRDefault="00B1115C" w:rsidP="00921DCB">
      <w:pPr>
        <w:pStyle w:val="Answer"/>
        <w:numPr>
          <w:ilvl w:val="0"/>
          <w:numId w:val="0"/>
        </w:numPr>
        <w:tabs>
          <w:tab w:val="left" w:pos="720"/>
        </w:tabs>
        <w:spacing w:after="240"/>
        <w:ind w:left="720" w:hanging="720"/>
      </w:pPr>
      <w:r w:rsidRPr="00777C4E">
        <w:t>A.</w:t>
      </w:r>
      <w:r w:rsidRPr="00777C4E">
        <w:tab/>
        <w:t xml:space="preserve">Page (i), the index, provides a listing of schedules that designates the three major sections of the cost-of-service study.  Section 1 presents the summary of the results of the cost-of-service study by the </w:t>
      </w:r>
      <w:r>
        <w:t>r</w:t>
      </w:r>
      <w:r w:rsidRPr="00777C4E">
        <w:t>ate groups.  Section 2 presents the detailed allocation of investment, revenues, and expenses to the two jurisdictions</w:t>
      </w:r>
      <w:r>
        <w:t xml:space="preserve"> (retail and wholesale)</w:t>
      </w:r>
      <w:r w:rsidRPr="00777C4E">
        <w:t xml:space="preserve"> and to the rate groups within the retail jurisdiction.  Section 3 shows the Company’s power flow diagram and the service level designations used throughout the study.</w:t>
      </w:r>
    </w:p>
    <w:p w:rsidR="00B1115C" w:rsidRPr="00921DCB" w:rsidRDefault="00B1115C" w:rsidP="00921DCB">
      <w:pPr>
        <w:pStyle w:val="Answer"/>
        <w:numPr>
          <w:ilvl w:val="0"/>
          <w:numId w:val="0"/>
        </w:numPr>
        <w:tabs>
          <w:tab w:val="left" w:pos="720"/>
        </w:tabs>
        <w:spacing w:after="240"/>
        <w:ind w:left="720" w:hanging="720"/>
      </w:pPr>
      <w:r w:rsidRPr="00276ED7">
        <w:rPr>
          <w:b/>
        </w:rPr>
        <w:t>Q.</w:t>
      </w:r>
      <w:r w:rsidRPr="00276ED7">
        <w:rPr>
          <w:b/>
        </w:rPr>
        <w:tab/>
        <w:t>PLEASE ELABORATE ON THE INFORMATION PRESENTED IN SECTION 1 OF THE COST-OF-SERVICE STUDY.</w:t>
      </w:r>
    </w:p>
    <w:p w:rsidR="00B1115C" w:rsidRDefault="00B1115C" w:rsidP="00921DCB">
      <w:pPr>
        <w:pStyle w:val="Answer"/>
        <w:numPr>
          <w:ilvl w:val="0"/>
          <w:numId w:val="0"/>
        </w:numPr>
        <w:tabs>
          <w:tab w:val="left" w:pos="720"/>
        </w:tabs>
        <w:spacing w:after="240"/>
        <w:ind w:left="720" w:hanging="720"/>
      </w:pPr>
      <w:r w:rsidRPr="00777C4E">
        <w:t>A.</w:t>
      </w:r>
      <w:r w:rsidRPr="00777C4E">
        <w:tab/>
        <w:t xml:space="preserve">Section 1 presents, in summary form, the results of the cost-of-service study for Georgia Power for the </w:t>
      </w:r>
      <w:r>
        <w:t>designated</w:t>
      </w:r>
      <w:r w:rsidRPr="00777C4E">
        <w:t xml:space="preserve"> period.  Schedule 1.00</w:t>
      </w:r>
      <w:r>
        <w:t>, also known as the Summary Page,</w:t>
      </w:r>
      <w:r w:rsidRPr="00777C4E">
        <w:t xml:space="preserve"> shows the Company’s total rate base, revenues, expenses, and net income separated between regulatory jurisdictions; and within the retail jurisdiction between the rate </w:t>
      </w:r>
      <w:r w:rsidRPr="00777C4E">
        <w:lastRenderedPageBreak/>
        <w:t>groups.  Schedule 1.00 presents the Company’s earnings position under present rates, Schedule 1.02 shows the allocation of cash working capital, and Schedule 1.05 develops the allocation of income taxes.</w:t>
      </w:r>
    </w:p>
    <w:p w:rsidR="00B1115C" w:rsidRDefault="00B1115C" w:rsidP="00EA1166">
      <w:pPr>
        <w:pStyle w:val="Answer"/>
        <w:numPr>
          <w:ilvl w:val="0"/>
          <w:numId w:val="0"/>
        </w:numPr>
        <w:tabs>
          <w:tab w:val="left" w:pos="720"/>
        </w:tabs>
        <w:spacing w:after="240"/>
        <w:ind w:left="720" w:hanging="720"/>
        <w:rPr>
          <w:b/>
        </w:rPr>
      </w:pPr>
      <w:r w:rsidRPr="00276ED7">
        <w:rPr>
          <w:b/>
        </w:rPr>
        <w:t>Q.</w:t>
      </w:r>
      <w:r w:rsidRPr="00276ED7">
        <w:rPr>
          <w:b/>
        </w:rPr>
        <w:tab/>
        <w:t>WHAT PORTION OF THIS STUDY DESCRIBES THE INVESTMENT ALLOCATION?</w:t>
      </w:r>
    </w:p>
    <w:p w:rsidR="00B1115C" w:rsidRDefault="00B1115C" w:rsidP="00921DCB">
      <w:pPr>
        <w:pStyle w:val="Answer"/>
        <w:tabs>
          <w:tab w:val="num" w:pos="720"/>
        </w:tabs>
        <w:spacing w:after="240"/>
        <w:ind w:left="720"/>
      </w:pPr>
      <w:r w:rsidRPr="00777C4E">
        <w:t>In Section 2, Schedules 2.00 through 2.03 present the investment allocations.  On Schedules</w:t>
      </w:r>
      <w:r>
        <w:t xml:space="preserve"> </w:t>
      </w:r>
      <w:r w:rsidRPr="00777C4E">
        <w:t>2.00</w:t>
      </w:r>
      <w:r>
        <w:t xml:space="preserve"> </w:t>
      </w:r>
      <w:r w:rsidRPr="00777C4E">
        <w:t xml:space="preserve">and 2.01, gross plant investment and accumulated provision for depreciation are analyzed and allocated to the respective </w:t>
      </w:r>
      <w:r>
        <w:t>rate groups</w:t>
      </w:r>
      <w:r w:rsidRPr="00777C4E">
        <w:t xml:space="preserve"> identified in the heading at the top of the page.  Schedules 2.02 and 2.03 set forth other items that must be considered in developing the Company’s total rate base.  These items are analyzed and allocated to the various rates and rate groups as indicated by the notes contained within each schedule.</w:t>
      </w:r>
    </w:p>
    <w:p w:rsidR="00B1115C" w:rsidRPr="00276ED7" w:rsidRDefault="00B1115C" w:rsidP="00921DCB">
      <w:pPr>
        <w:pStyle w:val="Answer"/>
        <w:numPr>
          <w:ilvl w:val="0"/>
          <w:numId w:val="0"/>
        </w:numPr>
        <w:tabs>
          <w:tab w:val="left" w:pos="720"/>
        </w:tabs>
        <w:spacing w:after="240"/>
        <w:ind w:left="717" w:hanging="717"/>
        <w:rPr>
          <w:b/>
        </w:rPr>
      </w:pPr>
      <w:r w:rsidRPr="00276ED7">
        <w:rPr>
          <w:b/>
        </w:rPr>
        <w:t>Q.</w:t>
      </w:r>
      <w:r w:rsidRPr="00276ED7">
        <w:rPr>
          <w:b/>
        </w:rPr>
        <w:tab/>
        <w:t>WHAT PORTION OF THIS STUDY PRESENTS THE ANALYSIS OF REVENUES AND THE ALLOCATION OF EXPENSES?</w:t>
      </w:r>
    </w:p>
    <w:p w:rsidR="00B1115C" w:rsidRDefault="00B1115C" w:rsidP="00921DCB">
      <w:pPr>
        <w:pStyle w:val="Answer"/>
        <w:tabs>
          <w:tab w:val="num" w:pos="720"/>
        </w:tabs>
        <w:spacing w:after="240"/>
        <w:ind w:left="720"/>
      </w:pPr>
      <w:r w:rsidRPr="00777C4E">
        <w:t>Schedule 2.10 presents the analysis of revenues from sales and other operating revenues.  Schedules 2.20 through 2.40 contain the expense allocations and are presented in a format similar to the schedules describing the investment allocation.  Schedule 2.60 presents a listing of the allocators used in and referenced throughout the cost-of-service study.</w:t>
      </w:r>
    </w:p>
    <w:p w:rsidR="00B1115C" w:rsidRPr="00276ED7" w:rsidRDefault="00B1115C" w:rsidP="00921DCB">
      <w:pPr>
        <w:pStyle w:val="Answer"/>
        <w:numPr>
          <w:ilvl w:val="0"/>
          <w:numId w:val="0"/>
        </w:numPr>
        <w:tabs>
          <w:tab w:val="left" w:pos="720"/>
        </w:tabs>
        <w:spacing w:after="240"/>
        <w:ind w:left="720" w:hanging="720"/>
        <w:rPr>
          <w:b/>
        </w:rPr>
      </w:pPr>
      <w:r w:rsidRPr="00276ED7">
        <w:rPr>
          <w:b/>
        </w:rPr>
        <w:t>Q.</w:t>
      </w:r>
      <w:r w:rsidRPr="00276ED7">
        <w:rPr>
          <w:b/>
        </w:rPr>
        <w:tab/>
        <w:t>WHAT IS SHOWN IN SECTION 3?</w:t>
      </w:r>
    </w:p>
    <w:p w:rsidR="00B1115C" w:rsidRPr="00176EAF" w:rsidRDefault="00B1115C" w:rsidP="00921DCB">
      <w:pPr>
        <w:pStyle w:val="Answer"/>
        <w:tabs>
          <w:tab w:val="num" w:pos="720"/>
        </w:tabs>
        <w:spacing w:after="240"/>
        <w:ind w:left="720" w:hanging="749"/>
        <w:rPr>
          <w:rFonts w:cs="Times New Roman"/>
          <w:b/>
          <w:u w:val="single"/>
        </w:rPr>
      </w:pPr>
      <w:r w:rsidRPr="00777C4E">
        <w:t xml:space="preserve">This is a power flow diagram which shows the designation of </w:t>
      </w:r>
      <w:r w:rsidR="004D73F3">
        <w:t xml:space="preserve">electric </w:t>
      </w:r>
      <w:r w:rsidRPr="00777C4E">
        <w:t xml:space="preserve">service levels.  The power flow diagram illustrates the various paths on which electricity flows through the Georgia Power </w:t>
      </w:r>
      <w:r>
        <w:t>s</w:t>
      </w:r>
      <w:r w:rsidRPr="00777C4E">
        <w:t xml:space="preserve">ystem.  These are indicated on the chart by vertical lines.  The horizontal lines represent various points within the system established for the purpose of classifying investment and expenses and </w:t>
      </w:r>
      <w:r w:rsidR="00A0692D">
        <w:t xml:space="preserve">for </w:t>
      </w:r>
      <w:r w:rsidRPr="00777C4E">
        <w:t xml:space="preserve">identifying the various types of facilities used in providing electric service.  The letter designations of service levels on the left </w:t>
      </w:r>
      <w:r w:rsidRPr="00777C4E">
        <w:lastRenderedPageBreak/>
        <w:t>side are a means of identifying the investment and expenses with customers and customers’ loads at these established points.  These levels are referred to in the study on numerous occasions.  Through the use of these service levels, one is able to identify the service location of customers and their relative use of the Georgia Power system.  This, in turn, allows for the proper identification and association of system cost responsibility with customer service requirements at the respective service levels.</w:t>
      </w:r>
    </w:p>
    <w:p w:rsidR="002E0860" w:rsidRPr="000C2FC8" w:rsidRDefault="00176EAF" w:rsidP="001A72BB">
      <w:pPr>
        <w:pStyle w:val="Answer"/>
        <w:numPr>
          <w:ilvl w:val="1"/>
          <w:numId w:val="2"/>
        </w:numPr>
        <w:tabs>
          <w:tab w:val="clear" w:pos="2160"/>
        </w:tabs>
        <w:spacing w:after="240"/>
        <w:ind w:left="720" w:hanging="720"/>
        <w:rPr>
          <w:b/>
        </w:rPr>
      </w:pPr>
      <w:r w:rsidRPr="000C2FC8">
        <w:rPr>
          <w:b/>
        </w:rPr>
        <w:t>PLEASE DESCRIBE EXHIBI</w:t>
      </w:r>
      <w:r w:rsidR="007D3403">
        <w:rPr>
          <w:b/>
        </w:rPr>
        <w:t>T___</w:t>
      </w:r>
      <w:r w:rsidR="002E0860" w:rsidRPr="000C2FC8">
        <w:rPr>
          <w:b/>
        </w:rPr>
        <w:t>(LJV-9).</w:t>
      </w:r>
    </w:p>
    <w:p w:rsidR="00EE68E0" w:rsidRPr="00EE68E0" w:rsidRDefault="004B0D92" w:rsidP="00F85FD7">
      <w:pPr>
        <w:pStyle w:val="Answer"/>
        <w:tabs>
          <w:tab w:val="num" w:pos="720"/>
        </w:tabs>
        <w:spacing w:after="240"/>
        <w:ind w:left="720" w:hanging="749"/>
      </w:pPr>
      <w:r w:rsidRPr="000C2FC8">
        <w:t xml:space="preserve">This Exhibit summarizes </w:t>
      </w:r>
      <w:r w:rsidR="00C3374D" w:rsidRPr="000C2FC8">
        <w:t>by rate, the</w:t>
      </w:r>
      <w:r w:rsidRPr="000C2FC8">
        <w:t xml:space="preserve"> customer</w:t>
      </w:r>
      <w:r w:rsidR="0093200F" w:rsidRPr="000C2FC8">
        <w:t>-</w:t>
      </w:r>
      <w:r w:rsidRPr="000C2FC8">
        <w:t>related costs</w:t>
      </w:r>
      <w:r w:rsidR="00F97334" w:rsidRPr="000C2FC8">
        <w:t xml:space="preserve"> from </w:t>
      </w:r>
      <w:r w:rsidR="0093200F" w:rsidRPr="000C2FC8">
        <w:t xml:space="preserve">the </w:t>
      </w:r>
      <w:r w:rsidR="00F97334" w:rsidRPr="000C2FC8">
        <w:t>historical Period I cost-of-service study</w:t>
      </w:r>
      <w:r w:rsidR="00C3374D" w:rsidRPr="000C2FC8">
        <w:t xml:space="preserve">, </w:t>
      </w:r>
      <w:r w:rsidR="00F27741">
        <w:t>Exhibit</w:t>
      </w:r>
      <w:r w:rsidR="007D3403">
        <w:t>___</w:t>
      </w:r>
      <w:r w:rsidR="00C3374D" w:rsidRPr="000C2FC8">
        <w:t>(LJV-4),</w:t>
      </w:r>
      <w:r w:rsidR="00F97334" w:rsidRPr="000C2FC8">
        <w:t xml:space="preserve"> using the Company’s recommended allocation methodologies</w:t>
      </w:r>
      <w:r w:rsidRPr="000C2FC8">
        <w:t xml:space="preserve">. </w:t>
      </w:r>
      <w:r w:rsidR="00355C4A" w:rsidRPr="000C2FC8">
        <w:t xml:space="preserve"> </w:t>
      </w:r>
      <w:r w:rsidR="00C3374D" w:rsidRPr="000C2FC8">
        <w:t>The exhibit shows the customer</w:t>
      </w:r>
      <w:r w:rsidR="00EB126B" w:rsidRPr="000C2FC8">
        <w:t>-related</w:t>
      </w:r>
      <w:r w:rsidR="00C3374D" w:rsidRPr="000C2FC8">
        <w:t xml:space="preserve"> cost portion of each rate’s revenue requirement</w:t>
      </w:r>
      <w:r w:rsidR="00EB126B" w:rsidRPr="000C2FC8">
        <w:t>, the associated numbers of customers taking service under each rate, and the calculated unit cost per customer per month.  This data is provided as an input to the rate design process, which is discussed in Mr. Legg’s testimony.</w:t>
      </w:r>
    </w:p>
    <w:p w:rsidR="00B1115C" w:rsidRPr="002E0860" w:rsidRDefault="00B1115C" w:rsidP="001E0970">
      <w:pPr>
        <w:pStyle w:val="Answer"/>
        <w:numPr>
          <w:ilvl w:val="0"/>
          <w:numId w:val="0"/>
        </w:numPr>
        <w:spacing w:after="240"/>
        <w:ind w:left="-29"/>
        <w:jc w:val="center"/>
        <w:rPr>
          <w:rFonts w:cs="Times New Roman"/>
          <w:b/>
          <w:u w:val="single"/>
        </w:rPr>
      </w:pPr>
      <w:r w:rsidRPr="002E0860">
        <w:rPr>
          <w:rFonts w:cs="Times New Roman"/>
          <w:b/>
          <w:u w:val="single"/>
        </w:rPr>
        <w:t>CONCLUSIONS</w:t>
      </w:r>
    </w:p>
    <w:p w:rsidR="00B1115C" w:rsidRPr="00B36F33" w:rsidRDefault="00B1115C" w:rsidP="00921DCB">
      <w:pPr>
        <w:pStyle w:val="Answer"/>
        <w:numPr>
          <w:ilvl w:val="0"/>
          <w:numId w:val="0"/>
        </w:numPr>
        <w:tabs>
          <w:tab w:val="left" w:pos="720"/>
        </w:tabs>
        <w:spacing w:after="240"/>
        <w:ind w:left="720" w:hanging="720"/>
        <w:rPr>
          <w:b/>
        </w:rPr>
      </w:pPr>
      <w:r w:rsidRPr="00B36F33">
        <w:rPr>
          <w:b/>
        </w:rPr>
        <w:t>Q.</w:t>
      </w:r>
      <w:r w:rsidRPr="00B36F33">
        <w:rPr>
          <w:b/>
        </w:rPr>
        <w:tab/>
        <w:t>ARE THE ALLOCATED COST-OF-SERVICE STUDIES FILED IN THIS PROCEEDING SIMILAR TO THE ALLOCATED COST-OF-SERVICE STUDIES FILED IN PRIOR PROCEEDINGS AND APPROPRIATE FOR USE BY THIS COMMISSION?</w:t>
      </w:r>
    </w:p>
    <w:p w:rsidR="00B1115C" w:rsidRDefault="00B1115C" w:rsidP="00EA1166">
      <w:pPr>
        <w:pStyle w:val="Answer"/>
        <w:tabs>
          <w:tab w:val="num" w:pos="720"/>
        </w:tabs>
        <w:spacing w:after="240"/>
        <w:ind w:left="720"/>
      </w:pPr>
      <w:r w:rsidRPr="00777C4E">
        <w:t xml:space="preserve">Yes.  I have thoroughly reviewed each of the filed studies.  I find that these studies are similar to and consistent with the allocated cost-of-service studies </w:t>
      </w:r>
      <w:r w:rsidR="007049A6">
        <w:t>the Company</w:t>
      </w:r>
      <w:r w:rsidRPr="00777C4E">
        <w:t xml:space="preserve"> has previously filed with this Commission.</w:t>
      </w:r>
      <w:r>
        <w:t xml:space="preserve">  They accurately reflect cost causation and can be used to judge the adequacy of rates </w:t>
      </w:r>
      <w:r w:rsidR="00F06900">
        <w:t xml:space="preserve">with respect to the costs to serve </w:t>
      </w:r>
      <w:r>
        <w:t xml:space="preserve">and </w:t>
      </w:r>
      <w:r w:rsidR="007049A6">
        <w:t xml:space="preserve">be </w:t>
      </w:r>
      <w:r>
        <w:t>used for rate design purposes.</w:t>
      </w:r>
    </w:p>
    <w:p w:rsidR="001A72BB" w:rsidRDefault="00B1115C" w:rsidP="001A72BB">
      <w:pPr>
        <w:pStyle w:val="Answer"/>
        <w:numPr>
          <w:ilvl w:val="1"/>
          <w:numId w:val="2"/>
        </w:numPr>
        <w:tabs>
          <w:tab w:val="clear" w:pos="2160"/>
        </w:tabs>
        <w:spacing w:after="240"/>
        <w:ind w:left="720" w:hanging="720"/>
        <w:rPr>
          <w:b/>
        </w:rPr>
      </w:pPr>
      <w:r w:rsidRPr="00B36F33">
        <w:rPr>
          <w:b/>
        </w:rPr>
        <w:t>DOES THIS COMPLETE YOUR DIRECT TESTIMONY?</w:t>
      </w:r>
    </w:p>
    <w:p w:rsidR="00603850" w:rsidRDefault="00B1115C" w:rsidP="001A72BB">
      <w:pPr>
        <w:pStyle w:val="Answer"/>
        <w:numPr>
          <w:ilvl w:val="1"/>
          <w:numId w:val="18"/>
        </w:numPr>
        <w:tabs>
          <w:tab w:val="clear" w:pos="2160"/>
        </w:tabs>
        <w:spacing w:after="240"/>
        <w:ind w:left="720" w:hanging="720"/>
        <w:sectPr w:rsidR="00603850" w:rsidSect="00AF016B">
          <w:footerReference w:type="even" r:id="rId8"/>
          <w:footerReference w:type="default" r:id="rId9"/>
          <w:pgSz w:w="12240" w:h="15840" w:code="1"/>
          <w:pgMar w:top="1440" w:right="1325" w:bottom="1440" w:left="1800" w:header="720" w:footer="720" w:gutter="0"/>
          <w:lnNumType w:countBy="1"/>
          <w:cols w:space="720"/>
          <w:docGrid w:linePitch="326"/>
        </w:sectPr>
      </w:pPr>
      <w:r w:rsidRPr="00777C4E">
        <w:t>Yes, it does.</w:t>
      </w:r>
    </w:p>
    <w:p w:rsidR="00885A5D" w:rsidRPr="00777C4E" w:rsidRDefault="00885A5D" w:rsidP="00885A5D">
      <w:pPr>
        <w:suppressLineNumbers/>
        <w:ind w:left="744" w:hanging="744"/>
        <w:jc w:val="center"/>
        <w:rPr>
          <w:color w:val="000000"/>
        </w:rPr>
      </w:pPr>
      <w:r w:rsidRPr="00777C4E">
        <w:rPr>
          <w:color w:val="000000"/>
        </w:rPr>
        <w:lastRenderedPageBreak/>
        <w:t>Appendix – 1</w:t>
      </w:r>
    </w:p>
    <w:p w:rsidR="00885A5D" w:rsidRPr="00777C4E" w:rsidRDefault="00885A5D" w:rsidP="00885A5D">
      <w:pPr>
        <w:suppressLineNumbers/>
        <w:ind w:left="744" w:hanging="744"/>
        <w:jc w:val="center"/>
        <w:rPr>
          <w:color w:val="000000"/>
        </w:rPr>
      </w:pPr>
    </w:p>
    <w:p w:rsidR="00885A5D" w:rsidRPr="00777C4E" w:rsidRDefault="00885A5D" w:rsidP="00885A5D">
      <w:pPr>
        <w:suppressLineNumbers/>
        <w:ind w:left="744" w:hanging="744"/>
        <w:jc w:val="center"/>
        <w:rPr>
          <w:b/>
          <w:color w:val="000000"/>
        </w:rPr>
      </w:pPr>
      <w:r>
        <w:rPr>
          <w:b/>
          <w:color w:val="000000"/>
        </w:rPr>
        <w:t>Lawrence J. Vogt</w:t>
      </w:r>
    </w:p>
    <w:p w:rsidR="00885A5D" w:rsidRPr="00777C4E" w:rsidRDefault="00885A5D" w:rsidP="00885A5D">
      <w:pPr>
        <w:suppressLineNumbers/>
        <w:ind w:left="744" w:hanging="744"/>
        <w:jc w:val="center"/>
        <w:rPr>
          <w:color w:val="000000"/>
        </w:rPr>
      </w:pPr>
      <w:r w:rsidRPr="00777C4E">
        <w:rPr>
          <w:color w:val="000000"/>
        </w:rPr>
        <w:t>President</w:t>
      </w:r>
      <w:r>
        <w:rPr>
          <w:color w:val="000000"/>
        </w:rPr>
        <w:t xml:space="preserve"> and Principal Consultant</w:t>
      </w:r>
    </w:p>
    <w:p w:rsidR="00885A5D" w:rsidRDefault="00885A5D" w:rsidP="00885A5D">
      <w:pPr>
        <w:suppressLineNumbers/>
        <w:ind w:left="744" w:hanging="744"/>
        <w:jc w:val="center"/>
        <w:rPr>
          <w:color w:val="000000"/>
        </w:rPr>
      </w:pPr>
      <w:r>
        <w:rPr>
          <w:color w:val="000000"/>
        </w:rPr>
        <w:t>Vogtage Engineering Corporation</w:t>
      </w:r>
    </w:p>
    <w:p w:rsidR="00885A5D" w:rsidRPr="00777C4E" w:rsidRDefault="00885A5D" w:rsidP="00885A5D">
      <w:pPr>
        <w:suppressLineNumbers/>
        <w:ind w:left="744" w:hanging="744"/>
        <w:jc w:val="center"/>
        <w:rPr>
          <w:color w:val="000000"/>
        </w:rPr>
      </w:pPr>
    </w:p>
    <w:p w:rsidR="00F23CE2" w:rsidRDefault="008C47ED" w:rsidP="008C47ED">
      <w:pPr>
        <w:pBdr>
          <w:top w:val="single" w:sz="4"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sz w:val="20"/>
        </w:rPr>
      </w:pPr>
      <w:r w:rsidRPr="008C47ED">
        <w:rPr>
          <w:b/>
          <w:sz w:val="20"/>
        </w:rPr>
        <w:t>Summary Of Utility Industry Experience</w:t>
      </w:r>
    </w:p>
    <w:p w:rsidR="008C47ED" w:rsidRDefault="008C47ED" w:rsidP="008C47ED">
      <w:pPr>
        <w:ind w:left="360"/>
      </w:pPr>
    </w:p>
    <w:p w:rsidR="008C47ED" w:rsidRPr="008C47ED" w:rsidRDefault="008C47ED" w:rsidP="008C47ED">
      <w:pPr>
        <w:ind w:left="360"/>
        <w:sectPr w:rsidR="008C47ED" w:rsidRPr="008C47ED" w:rsidSect="00A676DB">
          <w:footerReference w:type="default" r:id="rId10"/>
          <w:pgSz w:w="12240" w:h="15840" w:code="1"/>
          <w:pgMar w:top="1440" w:right="1325" w:bottom="1440" w:left="1800" w:header="720" w:footer="720" w:gutter="0"/>
          <w:pgNumType w:start="1"/>
          <w:cols w:space="720"/>
          <w:docGrid w:linePitch="326"/>
        </w:sectPr>
      </w:pPr>
    </w:p>
    <w:p w:rsidR="008C47ED" w:rsidRPr="00857791" w:rsidRDefault="008C47ED" w:rsidP="001A72BB">
      <w:pPr>
        <w:pStyle w:val="ListParagraph"/>
        <w:numPr>
          <w:ilvl w:val="0"/>
          <w:numId w:val="12"/>
        </w:numPr>
        <w:spacing w:after="0" w:line="240" w:lineRule="auto"/>
        <w:rPr>
          <w:rFonts w:ascii="Times New Roman" w:hAnsi="Times New Roman"/>
        </w:rPr>
      </w:pPr>
      <w:r w:rsidRPr="00857791">
        <w:rPr>
          <w:rFonts w:ascii="Times New Roman" w:hAnsi="Times New Roman"/>
        </w:rPr>
        <w:t>B.S. &amp; M.Eng Degrees in EE</w:t>
      </w:r>
    </w:p>
    <w:p w:rsidR="008C47ED" w:rsidRPr="00857791" w:rsidRDefault="008C47ED" w:rsidP="001A72BB">
      <w:pPr>
        <w:pStyle w:val="ListParagraph"/>
        <w:numPr>
          <w:ilvl w:val="0"/>
          <w:numId w:val="12"/>
        </w:numPr>
        <w:spacing w:after="0" w:line="240" w:lineRule="auto"/>
        <w:rPr>
          <w:rFonts w:ascii="Times New Roman" w:hAnsi="Times New Roman"/>
        </w:rPr>
      </w:pPr>
      <w:r w:rsidRPr="00857791">
        <w:rPr>
          <w:rFonts w:ascii="Times New Roman" w:hAnsi="Times New Roman"/>
        </w:rPr>
        <w:t>Licensed Professional Engineer</w:t>
      </w:r>
    </w:p>
    <w:p w:rsidR="008C47ED" w:rsidRPr="00857791" w:rsidRDefault="008C47ED" w:rsidP="001A72BB">
      <w:pPr>
        <w:pStyle w:val="ListParagraph"/>
        <w:numPr>
          <w:ilvl w:val="0"/>
          <w:numId w:val="12"/>
        </w:numPr>
        <w:spacing w:after="0" w:line="240" w:lineRule="auto"/>
        <w:rPr>
          <w:rFonts w:ascii="Times New Roman" w:hAnsi="Times New Roman"/>
        </w:rPr>
      </w:pPr>
      <w:r w:rsidRPr="00857791">
        <w:rPr>
          <w:rFonts w:ascii="Times New Roman" w:hAnsi="Times New Roman"/>
        </w:rPr>
        <w:t>Expert Witness</w:t>
      </w:r>
    </w:p>
    <w:p w:rsidR="008C47ED" w:rsidRPr="00857791" w:rsidRDefault="008C47ED" w:rsidP="001A72BB">
      <w:pPr>
        <w:pStyle w:val="ListParagraph"/>
        <w:numPr>
          <w:ilvl w:val="0"/>
          <w:numId w:val="12"/>
        </w:numPr>
        <w:spacing w:after="0" w:line="240" w:lineRule="auto"/>
        <w:rPr>
          <w:rFonts w:ascii="Times New Roman" w:hAnsi="Times New Roman"/>
        </w:rPr>
      </w:pPr>
      <w:r w:rsidRPr="00857791">
        <w:rPr>
          <w:rFonts w:ascii="Times New Roman" w:hAnsi="Times New Roman"/>
        </w:rPr>
        <w:t>Published Author</w:t>
      </w:r>
    </w:p>
    <w:p w:rsidR="008C47ED" w:rsidRPr="008C47ED" w:rsidRDefault="008C47ED" w:rsidP="008C47ED"/>
    <w:p w:rsidR="008C47ED" w:rsidRPr="00857791" w:rsidRDefault="008C47ED" w:rsidP="001A72BB">
      <w:pPr>
        <w:pStyle w:val="ListParagraph"/>
        <w:numPr>
          <w:ilvl w:val="0"/>
          <w:numId w:val="12"/>
        </w:numPr>
        <w:spacing w:after="0" w:line="240" w:lineRule="auto"/>
        <w:rPr>
          <w:rFonts w:ascii="Times New Roman" w:hAnsi="Times New Roman"/>
        </w:rPr>
      </w:pPr>
      <w:r w:rsidRPr="00857791">
        <w:rPr>
          <w:rFonts w:ascii="Times New Roman" w:hAnsi="Times New Roman"/>
        </w:rPr>
        <w:t>Professional Instructor</w:t>
      </w:r>
    </w:p>
    <w:p w:rsidR="008C47ED" w:rsidRPr="00857791" w:rsidRDefault="008C47ED" w:rsidP="001A72BB">
      <w:pPr>
        <w:pStyle w:val="ListParagraph"/>
        <w:numPr>
          <w:ilvl w:val="0"/>
          <w:numId w:val="12"/>
        </w:numPr>
        <w:spacing w:after="0" w:line="240" w:lineRule="auto"/>
        <w:rPr>
          <w:rFonts w:ascii="Times New Roman" w:hAnsi="Times New Roman"/>
        </w:rPr>
      </w:pPr>
      <w:r w:rsidRPr="00857791">
        <w:rPr>
          <w:rFonts w:ascii="Times New Roman" w:hAnsi="Times New Roman"/>
        </w:rPr>
        <w:t>Project Manager</w:t>
      </w:r>
    </w:p>
    <w:p w:rsidR="008C47ED" w:rsidRPr="00857791" w:rsidRDefault="008C47ED" w:rsidP="001A72BB">
      <w:pPr>
        <w:pStyle w:val="ListParagraph"/>
        <w:numPr>
          <w:ilvl w:val="0"/>
          <w:numId w:val="12"/>
        </w:numPr>
        <w:spacing w:after="0" w:line="240" w:lineRule="auto"/>
        <w:rPr>
          <w:rFonts w:ascii="Times New Roman" w:hAnsi="Times New Roman"/>
        </w:rPr>
      </w:pPr>
      <w:r w:rsidRPr="00857791">
        <w:rPr>
          <w:rFonts w:ascii="Times New Roman" w:hAnsi="Times New Roman"/>
        </w:rPr>
        <w:t>Business Unit Manager</w:t>
      </w:r>
    </w:p>
    <w:p w:rsidR="008C47ED" w:rsidRDefault="008C47ED" w:rsidP="001A72BB">
      <w:pPr>
        <w:pStyle w:val="ListParagraph"/>
        <w:numPr>
          <w:ilvl w:val="0"/>
          <w:numId w:val="12"/>
        </w:numPr>
        <w:spacing w:after="0" w:line="240" w:lineRule="auto"/>
        <w:rPr>
          <w:rFonts w:ascii="Times New Roman" w:hAnsi="Times New Roman"/>
        </w:rPr>
      </w:pPr>
      <w:r w:rsidRPr="00857791">
        <w:rPr>
          <w:rFonts w:ascii="Times New Roman" w:hAnsi="Times New Roman"/>
        </w:rPr>
        <w:t>Utility Consultant</w:t>
      </w:r>
    </w:p>
    <w:p w:rsidR="008C47ED" w:rsidRPr="008C47ED" w:rsidRDefault="008C47ED" w:rsidP="008C47ED"/>
    <w:p w:rsidR="008C47ED" w:rsidRDefault="008C47ED" w:rsidP="008C47ED">
      <w:pPr>
        <w:pBdr>
          <w:top w:val="single" w:sz="4"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00" w:lineRule="exact"/>
        <w:jc w:val="center"/>
        <w:rPr>
          <w:b/>
          <w:sz w:val="20"/>
        </w:rPr>
        <w:sectPr w:rsidR="008C47ED" w:rsidSect="008C47ED">
          <w:type w:val="continuous"/>
          <w:pgSz w:w="12240" w:h="15840" w:code="1"/>
          <w:pgMar w:top="1440" w:right="1325" w:bottom="1440" w:left="1800" w:header="720" w:footer="720" w:gutter="0"/>
          <w:cols w:num="2" w:space="720"/>
          <w:docGrid w:linePitch="326"/>
        </w:sectPr>
      </w:pPr>
    </w:p>
    <w:p w:rsidR="008C47ED" w:rsidRDefault="008C47ED" w:rsidP="008C47ED">
      <w:pPr>
        <w:pBdr>
          <w:top w:val="single" w:sz="4"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00" w:lineRule="exact"/>
        <w:jc w:val="center"/>
        <w:rPr>
          <w:b/>
          <w:sz w:val="20"/>
        </w:rPr>
      </w:pPr>
    </w:p>
    <w:p w:rsidR="008C47ED" w:rsidRDefault="008C47ED" w:rsidP="006038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00" w:lineRule="exact"/>
        <w:jc w:val="both"/>
        <w:rPr>
          <w:b/>
          <w:sz w:val="20"/>
        </w:rPr>
      </w:pPr>
    </w:p>
    <w:p w:rsidR="00603850"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r w:rsidRPr="00564A08">
        <w:rPr>
          <w:b/>
          <w:sz w:val="20"/>
        </w:rPr>
        <w:t>WORK EXPERIENCE</w:t>
      </w:r>
    </w:p>
    <w:p w:rsidR="00F23CE2" w:rsidRDefault="00F23CE2"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Pr="0024507B"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r w:rsidRPr="0024507B">
        <w:rPr>
          <w:b/>
          <w:sz w:val="20"/>
        </w:rPr>
        <w:t>Rates Engineering</w:t>
      </w:r>
    </w:p>
    <w:p w:rsidR="00F23CE2" w:rsidRDefault="00F23CE2" w:rsidP="00F23CE2">
      <w:pPr>
        <w:tabs>
          <w:tab w:val="left" w:pos="720"/>
          <w:tab w:val="left" w:pos="1170"/>
          <w:tab w:val="left" w:pos="6120"/>
        </w:tabs>
        <w:jc w:val="both"/>
        <w:rPr>
          <w:sz w:val="20"/>
          <w:u w:val="single"/>
        </w:rPr>
      </w:pPr>
    </w:p>
    <w:p w:rsidR="00603850" w:rsidRPr="00564A08" w:rsidRDefault="00603850" w:rsidP="008C47ED">
      <w:pPr>
        <w:tabs>
          <w:tab w:val="left" w:pos="720"/>
          <w:tab w:val="left" w:pos="1170"/>
          <w:tab w:val="left" w:pos="6120"/>
        </w:tabs>
        <w:jc w:val="both"/>
        <w:rPr>
          <w:sz w:val="20"/>
        </w:rPr>
      </w:pPr>
      <w:r w:rsidRPr="00564A08">
        <w:rPr>
          <w:sz w:val="20"/>
          <w:u w:val="single"/>
        </w:rPr>
        <w:t>Pricing Strategy</w:t>
      </w:r>
      <w:r w:rsidRPr="00564A08">
        <w:rPr>
          <w:sz w:val="20"/>
        </w:rPr>
        <w:t xml:space="preserve"> – Development and implementation of long-term plans for retail tariff restructuring and rate structure modifications based on projected industry contingencies.</w:t>
      </w:r>
    </w:p>
    <w:p w:rsidR="00F23CE2" w:rsidRDefault="00F23CE2" w:rsidP="00F23CE2">
      <w:pPr>
        <w:tabs>
          <w:tab w:val="left" w:pos="720"/>
          <w:tab w:val="left" w:pos="1170"/>
          <w:tab w:val="left" w:pos="6120"/>
        </w:tabs>
        <w:jc w:val="both"/>
        <w:rPr>
          <w:sz w:val="20"/>
          <w:u w:val="single"/>
        </w:rPr>
      </w:pPr>
    </w:p>
    <w:p w:rsidR="00603850" w:rsidRPr="00564A08" w:rsidRDefault="00603850" w:rsidP="008C47ED">
      <w:pPr>
        <w:tabs>
          <w:tab w:val="left" w:pos="720"/>
          <w:tab w:val="left" w:pos="1170"/>
          <w:tab w:val="left" w:pos="6120"/>
        </w:tabs>
        <w:jc w:val="both"/>
        <w:rPr>
          <w:sz w:val="20"/>
        </w:rPr>
      </w:pPr>
      <w:r w:rsidRPr="00564A08">
        <w:rPr>
          <w:sz w:val="20"/>
          <w:u w:val="single"/>
        </w:rPr>
        <w:t>Cost-of-Service Studies</w:t>
      </w:r>
      <w:r w:rsidRPr="00564A08">
        <w:rPr>
          <w:sz w:val="20"/>
        </w:rPr>
        <w:t xml:space="preserve"> – Design and construction of a comprehensive Excel-based electric cost-of-service model; development of a GIS-based minimum distribution system methodology for customer–demand cost classification; design of a </w:t>
      </w:r>
      <w:r>
        <w:rPr>
          <w:sz w:val="20"/>
        </w:rPr>
        <w:t xml:space="preserve">comprehensive </w:t>
      </w:r>
      <w:r w:rsidRPr="00564A08">
        <w:rPr>
          <w:sz w:val="20"/>
        </w:rPr>
        <w:t>system electric loss study methodology for use in energy and demand allocation factor development</w:t>
      </w:r>
      <w:r>
        <w:rPr>
          <w:sz w:val="20"/>
        </w:rPr>
        <w:t>; development of rate schedule functional cost components for use in rate design</w:t>
      </w:r>
      <w:r w:rsidRPr="00564A08">
        <w:rPr>
          <w:sz w:val="20"/>
        </w:rPr>
        <w:t>.</w:t>
      </w:r>
    </w:p>
    <w:p w:rsidR="00F23CE2" w:rsidRDefault="00F23CE2" w:rsidP="00F23CE2">
      <w:pPr>
        <w:tabs>
          <w:tab w:val="left" w:pos="720"/>
          <w:tab w:val="left" w:pos="1170"/>
          <w:tab w:val="left" w:pos="6120"/>
        </w:tabs>
        <w:jc w:val="both"/>
        <w:rPr>
          <w:sz w:val="20"/>
          <w:u w:val="single"/>
        </w:rPr>
      </w:pPr>
    </w:p>
    <w:p w:rsidR="00603850" w:rsidRPr="00564A08" w:rsidRDefault="00603850" w:rsidP="008C47ED">
      <w:pPr>
        <w:tabs>
          <w:tab w:val="left" w:pos="720"/>
          <w:tab w:val="left" w:pos="1170"/>
          <w:tab w:val="left" w:pos="6120"/>
        </w:tabs>
        <w:jc w:val="both"/>
        <w:rPr>
          <w:sz w:val="20"/>
        </w:rPr>
      </w:pPr>
      <w:r w:rsidRPr="00564A08">
        <w:rPr>
          <w:sz w:val="20"/>
          <w:u w:val="single"/>
        </w:rPr>
        <w:t>Rate Design Studies</w:t>
      </w:r>
      <w:r w:rsidRPr="00564A08">
        <w:rPr>
          <w:sz w:val="20"/>
        </w:rPr>
        <w:t xml:space="preserve"> – Development of coincidence factor–load factor curves </w:t>
      </w:r>
      <w:r>
        <w:rPr>
          <w:sz w:val="20"/>
        </w:rPr>
        <w:t xml:space="preserve">using interval data </w:t>
      </w:r>
      <w:r w:rsidRPr="00564A08">
        <w:rPr>
          <w:sz w:val="20"/>
        </w:rPr>
        <w:t xml:space="preserve">and </w:t>
      </w:r>
      <w:r>
        <w:rPr>
          <w:sz w:val="20"/>
        </w:rPr>
        <w:t xml:space="preserve">hours use of demand based </w:t>
      </w:r>
      <w:r w:rsidRPr="00564A08">
        <w:rPr>
          <w:sz w:val="20"/>
        </w:rPr>
        <w:t>bill frequency distributions for intra-rate electric cost allocation</w:t>
      </w:r>
      <w:r>
        <w:rPr>
          <w:sz w:val="20"/>
        </w:rPr>
        <w:t xml:space="preserve"> and production of rate schedule cost curves for supporting demand-based rate structures</w:t>
      </w:r>
      <w:r w:rsidRPr="00564A08">
        <w:rPr>
          <w:sz w:val="20"/>
        </w:rPr>
        <w:t>; development of alternative rate structures</w:t>
      </w:r>
      <w:r>
        <w:rPr>
          <w:sz w:val="20"/>
        </w:rPr>
        <w:t xml:space="preserve"> for all customer classes</w:t>
      </w:r>
      <w:r w:rsidRPr="00564A08">
        <w:rPr>
          <w:sz w:val="20"/>
        </w:rPr>
        <w:t xml:space="preserve">, including block energy, </w:t>
      </w:r>
      <w:r>
        <w:rPr>
          <w:sz w:val="20"/>
        </w:rPr>
        <w:t xml:space="preserve">demand, </w:t>
      </w:r>
      <w:r w:rsidRPr="00564A08">
        <w:rPr>
          <w:sz w:val="20"/>
        </w:rPr>
        <w:t>hours use of demand, and time of use; development of outdoor lighting and facilities lease rates; development of special electric rates, including economic development, generation standby, purchase of excess customer generation energy, and interruptible rates; development of various cost recovery clauses; administration of rates and associated policies.</w:t>
      </w:r>
    </w:p>
    <w:p w:rsidR="00F23CE2" w:rsidRDefault="00F23CE2" w:rsidP="00F23CE2">
      <w:pPr>
        <w:tabs>
          <w:tab w:val="left" w:pos="720"/>
          <w:tab w:val="left" w:pos="1170"/>
          <w:tab w:val="left" w:pos="6120"/>
        </w:tabs>
        <w:jc w:val="both"/>
        <w:rPr>
          <w:sz w:val="20"/>
          <w:u w:val="single"/>
        </w:rPr>
      </w:pPr>
    </w:p>
    <w:p w:rsidR="00603850" w:rsidRPr="00564A08" w:rsidRDefault="00603850" w:rsidP="008C47ED">
      <w:pPr>
        <w:tabs>
          <w:tab w:val="left" w:pos="720"/>
          <w:tab w:val="left" w:pos="1170"/>
          <w:tab w:val="left" w:pos="6120"/>
        </w:tabs>
        <w:jc w:val="both"/>
        <w:rPr>
          <w:sz w:val="20"/>
        </w:rPr>
      </w:pPr>
      <w:r w:rsidRPr="00564A08">
        <w:rPr>
          <w:sz w:val="20"/>
          <w:u w:val="single"/>
        </w:rPr>
        <w:t>Rate Analysis</w:t>
      </w:r>
      <w:r w:rsidRPr="00564A08">
        <w:rPr>
          <w:sz w:val="20"/>
        </w:rPr>
        <w:t xml:space="preserve"> – Development of mathematical and graphical techniques for </w:t>
      </w:r>
      <w:r>
        <w:rPr>
          <w:sz w:val="20"/>
        </w:rPr>
        <w:t>evaluation</w:t>
      </w:r>
      <w:r w:rsidRPr="00564A08">
        <w:rPr>
          <w:sz w:val="20"/>
        </w:rPr>
        <w:t xml:space="preserve"> of electric rates and rate relationships; development of unique rate analysis methodologies, e.g., contour-based differential rate charts; conceptual outline of a rate design and analysis tool (</w:t>
      </w:r>
      <w:r w:rsidRPr="00564A08">
        <w:rPr>
          <w:i/>
          <w:sz w:val="20"/>
        </w:rPr>
        <w:t>RateManager</w:t>
      </w:r>
      <w:r w:rsidRPr="00564A08">
        <w:rPr>
          <w:sz w:val="20"/>
        </w:rPr>
        <w:t xml:space="preserve">, coded and commercialized by Good¢ents Solutions). </w:t>
      </w:r>
    </w:p>
    <w:p w:rsidR="00F23CE2" w:rsidRDefault="00F23CE2" w:rsidP="00F23CE2">
      <w:pPr>
        <w:tabs>
          <w:tab w:val="left" w:pos="720"/>
          <w:tab w:val="left" w:pos="1170"/>
          <w:tab w:val="left" w:pos="6120"/>
        </w:tabs>
        <w:jc w:val="both"/>
        <w:rPr>
          <w:sz w:val="20"/>
          <w:u w:val="single"/>
        </w:rPr>
      </w:pPr>
    </w:p>
    <w:p w:rsidR="00603850" w:rsidRPr="00564A08" w:rsidRDefault="00603850" w:rsidP="008C47ED">
      <w:pPr>
        <w:tabs>
          <w:tab w:val="left" w:pos="720"/>
          <w:tab w:val="left" w:pos="1170"/>
          <w:tab w:val="left" w:pos="6120"/>
        </w:tabs>
        <w:jc w:val="both"/>
        <w:rPr>
          <w:sz w:val="20"/>
        </w:rPr>
      </w:pPr>
      <w:r w:rsidRPr="00564A08">
        <w:rPr>
          <w:sz w:val="20"/>
          <w:u w:val="single"/>
        </w:rPr>
        <w:t>Electric Service Revenue Forecasting</w:t>
      </w:r>
      <w:r w:rsidRPr="00564A08">
        <w:rPr>
          <w:sz w:val="20"/>
        </w:rPr>
        <w:t xml:space="preserve"> – Development of historical and projected billing determinant databases using average rate and ogive forecasting methodologies for residential and small commercial customer classes and a discrete bill forecasting methodology for large commercial and industrial customers; development of projected customer rate class revenues based on projected billing determinants.</w:t>
      </w:r>
    </w:p>
    <w:p w:rsidR="00F23CE2" w:rsidRDefault="00F23CE2" w:rsidP="00F23CE2">
      <w:pPr>
        <w:tabs>
          <w:tab w:val="left" w:pos="720"/>
          <w:tab w:val="left" w:pos="1170"/>
          <w:tab w:val="left" w:pos="6120"/>
        </w:tabs>
        <w:jc w:val="both"/>
        <w:rPr>
          <w:sz w:val="20"/>
          <w:u w:val="single"/>
        </w:rPr>
      </w:pPr>
    </w:p>
    <w:p w:rsidR="00603850" w:rsidRPr="00564A08" w:rsidRDefault="00603850" w:rsidP="008C47ED">
      <w:pPr>
        <w:tabs>
          <w:tab w:val="left" w:pos="720"/>
          <w:tab w:val="left" w:pos="1170"/>
          <w:tab w:val="left" w:pos="6120"/>
        </w:tabs>
        <w:jc w:val="both"/>
        <w:rPr>
          <w:sz w:val="20"/>
        </w:rPr>
      </w:pPr>
      <w:r w:rsidRPr="00564A08">
        <w:rPr>
          <w:sz w:val="20"/>
          <w:u w:val="single"/>
        </w:rPr>
        <w:t>Regulatory Support</w:t>
      </w:r>
      <w:r w:rsidRPr="00564A08">
        <w:rPr>
          <w:sz w:val="20"/>
        </w:rPr>
        <w:t xml:space="preserve"> – Preparation of retail and wholesale regulatory filing documents, including testimony, exhibits, and responses to interrogatories; appearance as an expert witness in regulatory docket proceedings; participation in special regulatory meetings, such as collaborative interest groups; design and implementation of formulary performance-based ratemaking methods.</w:t>
      </w:r>
      <w:r>
        <w:rPr>
          <w:sz w:val="20"/>
        </w:rPr>
        <w:t xml:space="preserve">  Development and presentation of instructional courses in ratemaking principles and methodologies.</w:t>
      </w:r>
    </w:p>
    <w:p w:rsidR="00981526" w:rsidRDefault="00981526">
      <w:pPr>
        <w:rPr>
          <w:b/>
          <w:sz w:val="20"/>
        </w:rPr>
      </w:pPr>
      <w:r>
        <w:rPr>
          <w:b/>
          <w:sz w:val="20"/>
        </w:rPr>
        <w:br w:type="page"/>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Pr="0024507B"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r w:rsidRPr="0024507B">
        <w:rPr>
          <w:b/>
          <w:sz w:val="20"/>
        </w:rPr>
        <w:t>Power Distribution Engineering</w:t>
      </w:r>
    </w:p>
    <w:p w:rsidR="00F23CE2" w:rsidRDefault="00F23CE2" w:rsidP="00F23CE2">
      <w:pPr>
        <w:tabs>
          <w:tab w:val="left" w:pos="720"/>
          <w:tab w:val="left" w:pos="1170"/>
          <w:tab w:val="left" w:pos="6120"/>
        </w:tabs>
        <w:jc w:val="both"/>
        <w:rPr>
          <w:sz w:val="20"/>
          <w:u w:val="single"/>
        </w:rPr>
      </w:pPr>
    </w:p>
    <w:p w:rsidR="00603850" w:rsidRPr="0079125D" w:rsidRDefault="00603850" w:rsidP="008C47ED">
      <w:pPr>
        <w:tabs>
          <w:tab w:val="left" w:pos="720"/>
          <w:tab w:val="left" w:pos="1170"/>
          <w:tab w:val="left" w:pos="6120"/>
        </w:tabs>
        <w:jc w:val="both"/>
        <w:rPr>
          <w:sz w:val="20"/>
          <w:u w:val="single"/>
        </w:rPr>
      </w:pPr>
      <w:r w:rsidRPr="0079125D">
        <w:rPr>
          <w:sz w:val="20"/>
          <w:u w:val="single"/>
        </w:rPr>
        <w:t>Distribution Planning</w:t>
      </w:r>
      <w:r w:rsidRPr="0079125D">
        <w:rPr>
          <w:sz w:val="20"/>
        </w:rPr>
        <w:t xml:space="preserve"> – Development of load-bearing land use databases calibrated to substation peak loads and service areas; spatial allocation of projected customer class loads; optimization of substation capacity sizing and siting; forecasting and outage contingency analyses.</w:t>
      </w:r>
      <w:r w:rsidRPr="0079125D">
        <w:rPr>
          <w:sz w:val="20"/>
          <w:u w:val="single"/>
        </w:rPr>
        <w:t xml:space="preserve"> </w:t>
      </w:r>
    </w:p>
    <w:p w:rsidR="00F23CE2" w:rsidRDefault="00F23CE2" w:rsidP="00F23CE2">
      <w:pPr>
        <w:tabs>
          <w:tab w:val="left" w:pos="720"/>
          <w:tab w:val="left" w:pos="1170"/>
          <w:tab w:val="left" w:pos="6120"/>
        </w:tabs>
        <w:jc w:val="both"/>
        <w:rPr>
          <w:sz w:val="20"/>
          <w:u w:val="single"/>
        </w:rPr>
      </w:pPr>
    </w:p>
    <w:p w:rsidR="00F23CE2" w:rsidRDefault="00603850" w:rsidP="00F23CE2">
      <w:pPr>
        <w:tabs>
          <w:tab w:val="left" w:pos="720"/>
          <w:tab w:val="left" w:pos="1170"/>
          <w:tab w:val="left" w:pos="6120"/>
        </w:tabs>
        <w:jc w:val="both"/>
        <w:rPr>
          <w:sz w:val="20"/>
          <w:u w:val="single"/>
        </w:rPr>
      </w:pPr>
      <w:r w:rsidRPr="0079125D">
        <w:rPr>
          <w:sz w:val="20"/>
          <w:u w:val="single"/>
        </w:rPr>
        <w:t>Integrated Resource Planning</w:t>
      </w:r>
      <w:r w:rsidRPr="0079125D">
        <w:rPr>
          <w:sz w:val="20"/>
        </w:rPr>
        <w:t xml:space="preserve"> – Development of DSM-based customer class load models; spatial analysis of DSM impacts on T&amp;D loads and substation capacity expansion using distribution planning software.</w:t>
      </w:r>
    </w:p>
    <w:p w:rsidR="00F23CE2" w:rsidRDefault="00F23CE2" w:rsidP="00F23CE2">
      <w:pPr>
        <w:tabs>
          <w:tab w:val="left" w:pos="720"/>
          <w:tab w:val="left" w:pos="1170"/>
          <w:tab w:val="left" w:pos="6120"/>
        </w:tabs>
        <w:jc w:val="both"/>
        <w:rPr>
          <w:sz w:val="20"/>
          <w:u w:val="single"/>
        </w:rPr>
      </w:pPr>
    </w:p>
    <w:p w:rsidR="00603850" w:rsidRPr="0079125D" w:rsidRDefault="00603850" w:rsidP="008C47ED">
      <w:pPr>
        <w:tabs>
          <w:tab w:val="left" w:pos="720"/>
          <w:tab w:val="left" w:pos="1170"/>
          <w:tab w:val="left" w:pos="6120"/>
        </w:tabs>
        <w:jc w:val="both"/>
        <w:rPr>
          <w:sz w:val="20"/>
          <w:u w:val="single"/>
        </w:rPr>
      </w:pPr>
      <w:r w:rsidRPr="0079125D">
        <w:rPr>
          <w:sz w:val="20"/>
          <w:u w:val="single"/>
        </w:rPr>
        <w:t>Distribution Design and Analysis</w:t>
      </w:r>
      <w:r w:rsidRPr="0079125D">
        <w:rPr>
          <w:sz w:val="20"/>
        </w:rPr>
        <w:t xml:space="preserve"> – Routing and specification of primary feeder lines and equipment; specification of electric service facilities; feeder protection coordination studies; capacitor sizing and siting studies.</w:t>
      </w:r>
    </w:p>
    <w:p w:rsidR="00F23CE2" w:rsidRDefault="00F23CE2" w:rsidP="00F23CE2">
      <w:pPr>
        <w:tabs>
          <w:tab w:val="left" w:pos="720"/>
          <w:tab w:val="left" w:pos="1170"/>
          <w:tab w:val="left" w:pos="6120"/>
        </w:tabs>
        <w:jc w:val="both"/>
        <w:rPr>
          <w:sz w:val="20"/>
          <w:u w:val="single"/>
        </w:rPr>
      </w:pPr>
    </w:p>
    <w:p w:rsidR="00603850" w:rsidRPr="0079125D" w:rsidRDefault="00603850" w:rsidP="008C47ED">
      <w:pPr>
        <w:tabs>
          <w:tab w:val="left" w:pos="720"/>
          <w:tab w:val="left" w:pos="1170"/>
          <w:tab w:val="left" w:pos="6120"/>
        </w:tabs>
        <w:jc w:val="both"/>
        <w:rPr>
          <w:sz w:val="20"/>
          <w:u w:val="single"/>
        </w:rPr>
      </w:pPr>
      <w:r w:rsidRPr="0079125D">
        <w:rPr>
          <w:sz w:val="20"/>
          <w:u w:val="single"/>
        </w:rPr>
        <w:t>Distribution System Restoration</w:t>
      </w:r>
      <w:r w:rsidRPr="0079125D">
        <w:rPr>
          <w:sz w:val="20"/>
        </w:rPr>
        <w:t xml:space="preserve"> – Field engineering support of distribution system restoration efforts due to tornados and hurricanes.</w:t>
      </w:r>
      <w:r w:rsidRPr="0079125D">
        <w:rPr>
          <w:sz w:val="20"/>
          <w:u w:val="single"/>
        </w:rPr>
        <w:t xml:space="preserve">  </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Pr="0024507B"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r w:rsidRPr="0024507B">
        <w:rPr>
          <w:b/>
          <w:sz w:val="20"/>
        </w:rPr>
        <w:t>Marketing</w:t>
      </w:r>
    </w:p>
    <w:p w:rsidR="00F23CE2" w:rsidRDefault="00F23CE2" w:rsidP="00F23CE2">
      <w:pPr>
        <w:tabs>
          <w:tab w:val="left" w:pos="720"/>
          <w:tab w:val="left" w:pos="1170"/>
          <w:tab w:val="left" w:pos="6120"/>
        </w:tabs>
        <w:jc w:val="both"/>
        <w:rPr>
          <w:sz w:val="20"/>
          <w:u w:val="single"/>
        </w:rPr>
      </w:pPr>
    </w:p>
    <w:p w:rsidR="00603850" w:rsidRPr="0079125D" w:rsidRDefault="00603850" w:rsidP="008C47ED">
      <w:pPr>
        <w:tabs>
          <w:tab w:val="left" w:pos="720"/>
          <w:tab w:val="left" w:pos="1170"/>
          <w:tab w:val="left" w:pos="6120"/>
        </w:tabs>
        <w:jc w:val="both"/>
        <w:rPr>
          <w:sz w:val="20"/>
          <w:u w:val="single"/>
        </w:rPr>
      </w:pPr>
      <w:r w:rsidRPr="0079125D">
        <w:rPr>
          <w:sz w:val="20"/>
          <w:u w:val="single"/>
        </w:rPr>
        <w:t>Industrial Marketing</w:t>
      </w:r>
      <w:r w:rsidRPr="004453EF">
        <w:rPr>
          <w:sz w:val="20"/>
        </w:rPr>
        <w:t xml:space="preserve"> – Engineering assistance to commercial and industrial customers for new load additions, demand and energy management project evaluations, power factor correction projects, electric service invoices, and rate schedule selection; development and presentation of customer education programs.</w:t>
      </w:r>
      <w:r w:rsidRPr="0079125D">
        <w:rPr>
          <w:sz w:val="20"/>
          <w:u w:val="single"/>
        </w:rPr>
        <w:t xml:space="preserve"> </w:t>
      </w:r>
    </w:p>
    <w:p w:rsidR="00F23CE2" w:rsidRDefault="00F23CE2" w:rsidP="00F23CE2">
      <w:pPr>
        <w:tabs>
          <w:tab w:val="left" w:pos="720"/>
          <w:tab w:val="left" w:pos="1170"/>
          <w:tab w:val="left" w:pos="6120"/>
        </w:tabs>
        <w:jc w:val="both"/>
        <w:rPr>
          <w:sz w:val="20"/>
          <w:u w:val="single"/>
        </w:rPr>
      </w:pPr>
    </w:p>
    <w:p w:rsidR="00603850" w:rsidRPr="0079125D" w:rsidRDefault="00603850" w:rsidP="008C47ED">
      <w:pPr>
        <w:tabs>
          <w:tab w:val="left" w:pos="720"/>
          <w:tab w:val="left" w:pos="1170"/>
          <w:tab w:val="left" w:pos="6120"/>
        </w:tabs>
        <w:jc w:val="both"/>
        <w:rPr>
          <w:sz w:val="20"/>
          <w:u w:val="single"/>
        </w:rPr>
      </w:pPr>
      <w:r w:rsidRPr="0079125D">
        <w:rPr>
          <w:sz w:val="20"/>
          <w:u w:val="single"/>
        </w:rPr>
        <w:t>Products and Services Marketing</w:t>
      </w:r>
      <w:r w:rsidRPr="004453EF">
        <w:rPr>
          <w:sz w:val="20"/>
        </w:rPr>
        <w:t xml:space="preserve"> – Development of optional products and services proposals for large C&amp;I customers, including distribution engineering, </w:t>
      </w:r>
      <w:r>
        <w:rPr>
          <w:sz w:val="20"/>
        </w:rPr>
        <w:t xml:space="preserve">line </w:t>
      </w:r>
      <w:r w:rsidRPr="004453EF">
        <w:rPr>
          <w:sz w:val="20"/>
        </w:rPr>
        <w:t>construction, and maintenance services; coal procurement; development of a standard service criterion.</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Pr="0024507B"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r w:rsidRPr="0024507B">
        <w:rPr>
          <w:b/>
          <w:sz w:val="20"/>
        </w:rPr>
        <w:t>Business Unit Management</w:t>
      </w:r>
    </w:p>
    <w:p w:rsidR="00F23CE2" w:rsidRDefault="00F23CE2" w:rsidP="00F23CE2">
      <w:pPr>
        <w:tabs>
          <w:tab w:val="left" w:pos="720"/>
          <w:tab w:val="left" w:pos="1170"/>
          <w:tab w:val="left" w:pos="6120"/>
        </w:tabs>
        <w:jc w:val="both"/>
        <w:rPr>
          <w:sz w:val="20"/>
          <w:u w:val="single"/>
        </w:rPr>
      </w:pPr>
    </w:p>
    <w:p w:rsidR="00603850" w:rsidRPr="00067D5B" w:rsidRDefault="00603850" w:rsidP="00F23CE2">
      <w:pPr>
        <w:tabs>
          <w:tab w:val="left" w:pos="720"/>
          <w:tab w:val="left" w:pos="1170"/>
          <w:tab w:val="left" w:pos="6120"/>
        </w:tabs>
        <w:jc w:val="both"/>
        <w:rPr>
          <w:sz w:val="20"/>
        </w:rPr>
      </w:pPr>
      <w:r w:rsidRPr="0079125D">
        <w:rPr>
          <w:sz w:val="20"/>
          <w:u w:val="single"/>
        </w:rPr>
        <w:t>Electric Rates Function</w:t>
      </w:r>
      <w:r w:rsidRPr="00067D5B">
        <w:rPr>
          <w:sz w:val="20"/>
        </w:rPr>
        <w:t xml:space="preserve"> –</w:t>
      </w:r>
      <w:r w:rsidRPr="00A53A77">
        <w:rPr>
          <w:sz w:val="20"/>
        </w:rPr>
        <w:t xml:space="preserve"> </w:t>
      </w:r>
      <w:r w:rsidRPr="00067D5B">
        <w:rPr>
          <w:sz w:val="20"/>
        </w:rPr>
        <w:t>Management of a team of engineers, accountants, economists, and computer scientists responsible for:</w:t>
      </w:r>
    </w:p>
    <w:p w:rsidR="00603850" w:rsidRPr="00B06354" w:rsidRDefault="00603850" w:rsidP="008C47ED">
      <w:pPr>
        <w:tabs>
          <w:tab w:val="left" w:pos="720"/>
          <w:tab w:val="left" w:pos="1170"/>
          <w:tab w:val="left" w:pos="6120"/>
        </w:tabs>
        <w:jc w:val="both"/>
        <w:rPr>
          <w:sz w:val="12"/>
        </w:rPr>
      </w:pPr>
    </w:p>
    <w:p w:rsidR="00603850" w:rsidRPr="00067D5B" w:rsidRDefault="00603850" w:rsidP="001A72BB">
      <w:pPr>
        <w:numPr>
          <w:ilvl w:val="0"/>
          <w:numId w:val="10"/>
        </w:numPr>
        <w:tabs>
          <w:tab w:val="left" w:pos="720"/>
          <w:tab w:val="left" w:pos="1170"/>
          <w:tab w:val="left" w:pos="6120"/>
        </w:tabs>
        <w:jc w:val="both"/>
        <w:rPr>
          <w:sz w:val="20"/>
        </w:rPr>
      </w:pPr>
      <w:r w:rsidRPr="00067D5B">
        <w:rPr>
          <w:sz w:val="20"/>
        </w:rPr>
        <w:t>Development of jurisdictional and customer and rate class cost-of-service studies;</w:t>
      </w:r>
    </w:p>
    <w:p w:rsidR="00603850" w:rsidRPr="00067D5B" w:rsidRDefault="00603850" w:rsidP="001A72BB">
      <w:pPr>
        <w:numPr>
          <w:ilvl w:val="0"/>
          <w:numId w:val="10"/>
        </w:numPr>
        <w:tabs>
          <w:tab w:val="left" w:pos="720"/>
          <w:tab w:val="left" w:pos="1170"/>
          <w:tab w:val="left" w:pos="6120"/>
        </w:tabs>
        <w:jc w:val="both"/>
        <w:rPr>
          <w:sz w:val="20"/>
        </w:rPr>
      </w:pPr>
      <w:r w:rsidRPr="00067D5B">
        <w:rPr>
          <w:sz w:val="20"/>
        </w:rPr>
        <w:t>Design of electric rates for all categories of retail and wholesale electric services; and</w:t>
      </w:r>
    </w:p>
    <w:p w:rsidR="00603850" w:rsidRPr="00067D5B" w:rsidRDefault="00603850" w:rsidP="001A72BB">
      <w:pPr>
        <w:numPr>
          <w:ilvl w:val="0"/>
          <w:numId w:val="10"/>
        </w:numPr>
        <w:tabs>
          <w:tab w:val="left" w:pos="720"/>
          <w:tab w:val="left" w:pos="1170"/>
          <w:tab w:val="left" w:pos="6120"/>
        </w:tabs>
        <w:jc w:val="both"/>
        <w:rPr>
          <w:sz w:val="20"/>
        </w:rPr>
      </w:pPr>
      <w:r w:rsidRPr="00067D5B">
        <w:rPr>
          <w:sz w:val="20"/>
        </w:rPr>
        <w:t>Application and governance of the electric tariff.</w:t>
      </w:r>
    </w:p>
    <w:p w:rsidR="00F23CE2" w:rsidRDefault="00F23CE2" w:rsidP="00F23CE2">
      <w:pPr>
        <w:tabs>
          <w:tab w:val="left" w:pos="720"/>
          <w:tab w:val="left" w:pos="1170"/>
          <w:tab w:val="left" w:pos="6120"/>
        </w:tabs>
        <w:jc w:val="both"/>
        <w:rPr>
          <w:sz w:val="20"/>
          <w:u w:val="single"/>
        </w:rPr>
      </w:pPr>
    </w:p>
    <w:p w:rsidR="00603850" w:rsidRDefault="00603850" w:rsidP="008C47ED">
      <w:pPr>
        <w:tabs>
          <w:tab w:val="left" w:pos="720"/>
          <w:tab w:val="left" w:pos="1170"/>
          <w:tab w:val="left" w:pos="6120"/>
        </w:tabs>
        <w:jc w:val="both"/>
        <w:rPr>
          <w:sz w:val="20"/>
        </w:rPr>
      </w:pPr>
      <w:r>
        <w:rPr>
          <w:sz w:val="20"/>
          <w:u w:val="single"/>
        </w:rPr>
        <w:t xml:space="preserve">Power </w:t>
      </w:r>
      <w:r w:rsidRPr="0079125D">
        <w:rPr>
          <w:sz w:val="20"/>
          <w:u w:val="single"/>
        </w:rPr>
        <w:t>Distribution Function</w:t>
      </w:r>
      <w:r w:rsidRPr="00A53A77">
        <w:rPr>
          <w:sz w:val="20"/>
        </w:rPr>
        <w:t xml:space="preserve"> </w:t>
      </w:r>
      <w:r w:rsidRPr="00067D5B">
        <w:rPr>
          <w:sz w:val="20"/>
        </w:rPr>
        <w:t>– Management of a team of engineers and geographers responsible for:</w:t>
      </w:r>
    </w:p>
    <w:p w:rsidR="00603850" w:rsidRPr="00B06354" w:rsidRDefault="00603850" w:rsidP="008C47ED">
      <w:pPr>
        <w:tabs>
          <w:tab w:val="left" w:pos="720"/>
          <w:tab w:val="left" w:pos="1170"/>
          <w:tab w:val="left" w:pos="6120"/>
        </w:tabs>
        <w:jc w:val="both"/>
        <w:rPr>
          <w:sz w:val="12"/>
        </w:rPr>
      </w:pPr>
    </w:p>
    <w:p w:rsidR="00603850" w:rsidRPr="00067D5B" w:rsidRDefault="00603850" w:rsidP="001A72BB">
      <w:pPr>
        <w:numPr>
          <w:ilvl w:val="0"/>
          <w:numId w:val="11"/>
        </w:numPr>
        <w:tabs>
          <w:tab w:val="left" w:pos="720"/>
          <w:tab w:val="left" w:pos="1170"/>
          <w:tab w:val="left" w:pos="6120"/>
        </w:tabs>
        <w:jc w:val="both"/>
        <w:rPr>
          <w:sz w:val="20"/>
        </w:rPr>
      </w:pPr>
      <w:r w:rsidRPr="00067D5B">
        <w:rPr>
          <w:sz w:val="20"/>
        </w:rPr>
        <w:t xml:space="preserve">Digitizing distribution electric circuit maps and construction of geographical load databases for use in distribution system planning and analysis; </w:t>
      </w:r>
    </w:p>
    <w:p w:rsidR="00603850" w:rsidRPr="00067D5B" w:rsidRDefault="00603850" w:rsidP="001A72BB">
      <w:pPr>
        <w:numPr>
          <w:ilvl w:val="0"/>
          <w:numId w:val="11"/>
        </w:numPr>
        <w:tabs>
          <w:tab w:val="left" w:pos="720"/>
          <w:tab w:val="left" w:pos="1170"/>
          <w:tab w:val="left" w:pos="6120"/>
        </w:tabs>
        <w:jc w:val="both"/>
        <w:rPr>
          <w:sz w:val="20"/>
        </w:rPr>
      </w:pPr>
      <w:r w:rsidRPr="00067D5B">
        <w:rPr>
          <w:sz w:val="20"/>
        </w:rPr>
        <w:t>Production of spatial electric load forecasts; and</w:t>
      </w:r>
    </w:p>
    <w:p w:rsidR="00603850" w:rsidRPr="00067D5B" w:rsidRDefault="00603850" w:rsidP="001A72BB">
      <w:pPr>
        <w:numPr>
          <w:ilvl w:val="0"/>
          <w:numId w:val="11"/>
        </w:numPr>
        <w:tabs>
          <w:tab w:val="left" w:pos="720"/>
          <w:tab w:val="left" w:pos="1170"/>
          <w:tab w:val="left" w:pos="6120"/>
        </w:tabs>
        <w:jc w:val="both"/>
        <w:rPr>
          <w:sz w:val="20"/>
        </w:rPr>
      </w:pPr>
      <w:r w:rsidRPr="00067D5B">
        <w:rPr>
          <w:sz w:val="20"/>
        </w:rPr>
        <w:t>Development of least-cost distribution system expansion plans, including the effects of demand-side management and energy efficiency programs.</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Pr="00564A08"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r w:rsidRPr="00564A08">
        <w:rPr>
          <w:b/>
          <w:sz w:val="20"/>
        </w:rPr>
        <w:t>COMPANY AND POSITION HISTORY</w:t>
      </w:r>
    </w:p>
    <w:p w:rsidR="00F23CE2" w:rsidRDefault="00F23CE2" w:rsidP="00F23CE2">
      <w:pPr>
        <w:tabs>
          <w:tab w:val="left" w:pos="6120"/>
        </w:tabs>
        <w:jc w:val="both"/>
        <w:rPr>
          <w:b/>
          <w:sz w:val="20"/>
        </w:rPr>
      </w:pPr>
    </w:p>
    <w:p w:rsidR="00603850" w:rsidRPr="00564A08" w:rsidRDefault="00603850" w:rsidP="008C47ED">
      <w:pPr>
        <w:tabs>
          <w:tab w:val="left" w:pos="6120"/>
        </w:tabs>
        <w:jc w:val="both"/>
        <w:rPr>
          <w:sz w:val="20"/>
        </w:rPr>
      </w:pPr>
      <w:r w:rsidRPr="00564A08">
        <w:rPr>
          <w:b/>
          <w:sz w:val="20"/>
        </w:rPr>
        <w:t>Vogtage Engineering Corporation</w:t>
      </w:r>
      <w:r w:rsidRPr="00564A08">
        <w:rPr>
          <w:b/>
          <w:sz w:val="20"/>
        </w:rPr>
        <w:tab/>
        <w:t>July 2010 – Present</w:t>
      </w:r>
    </w:p>
    <w:p w:rsidR="00603850" w:rsidRPr="00564A08"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564A08">
        <w:rPr>
          <w:sz w:val="20"/>
        </w:rPr>
        <w:t>Long Beach, Mississippi</w:t>
      </w:r>
    </w:p>
    <w:p w:rsidR="00603850" w:rsidRPr="00564A08" w:rsidRDefault="00603850" w:rsidP="008C47ED">
      <w:pPr>
        <w:tabs>
          <w:tab w:val="left" w:pos="720"/>
          <w:tab w:val="left" w:pos="1170"/>
          <w:tab w:val="left" w:pos="6120"/>
        </w:tabs>
        <w:jc w:val="both"/>
        <w:rPr>
          <w:sz w:val="20"/>
        </w:rPr>
      </w:pPr>
      <w:r w:rsidRPr="00564A08">
        <w:rPr>
          <w:sz w:val="20"/>
        </w:rPr>
        <w:t>Position:</w:t>
      </w:r>
      <w:r>
        <w:rPr>
          <w:sz w:val="20"/>
        </w:rPr>
        <w:tab/>
      </w:r>
      <w:r w:rsidRPr="00564A08">
        <w:rPr>
          <w:sz w:val="20"/>
        </w:rPr>
        <w:tab/>
        <w:t>President and Principal Consultant</w:t>
      </w:r>
    </w:p>
    <w:p w:rsidR="00F23CE2" w:rsidRDefault="00F23CE2" w:rsidP="00F23CE2">
      <w:pPr>
        <w:tabs>
          <w:tab w:val="left" w:pos="6120"/>
        </w:tabs>
        <w:jc w:val="both"/>
        <w:rPr>
          <w:b/>
          <w:sz w:val="20"/>
        </w:rPr>
      </w:pPr>
    </w:p>
    <w:p w:rsidR="00603850" w:rsidRPr="00564A08" w:rsidRDefault="00603850" w:rsidP="008C47ED">
      <w:pPr>
        <w:tabs>
          <w:tab w:val="left" w:pos="6120"/>
        </w:tabs>
        <w:jc w:val="both"/>
        <w:rPr>
          <w:sz w:val="20"/>
        </w:rPr>
      </w:pPr>
      <w:r w:rsidRPr="00564A08">
        <w:rPr>
          <w:b/>
          <w:sz w:val="20"/>
        </w:rPr>
        <w:t>Mississippi Power Company, A Southern Company</w:t>
      </w:r>
      <w:r w:rsidRPr="00564A08">
        <w:rPr>
          <w:b/>
          <w:sz w:val="20"/>
        </w:rPr>
        <w:tab/>
        <w:t>April 1997 – May 2018</w:t>
      </w:r>
    </w:p>
    <w:p w:rsidR="00603850" w:rsidRPr="00564A08"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564A08">
        <w:rPr>
          <w:sz w:val="20"/>
        </w:rPr>
        <w:t>Gulfport, Mississippi</w:t>
      </w:r>
    </w:p>
    <w:p w:rsidR="00603850" w:rsidRPr="00564A08" w:rsidRDefault="00603850" w:rsidP="008C47ED">
      <w:pPr>
        <w:tabs>
          <w:tab w:val="left" w:pos="720"/>
          <w:tab w:val="left" w:pos="1170"/>
          <w:tab w:val="left" w:pos="6120"/>
        </w:tabs>
        <w:jc w:val="both"/>
        <w:rPr>
          <w:sz w:val="20"/>
        </w:rPr>
      </w:pPr>
      <w:r w:rsidRPr="00564A08">
        <w:rPr>
          <w:sz w:val="20"/>
        </w:rPr>
        <w:t>Positions:</w:t>
      </w:r>
      <w:r w:rsidRPr="00564A08">
        <w:rPr>
          <w:sz w:val="20"/>
        </w:rPr>
        <w:tab/>
        <w:t>Director, Rates</w:t>
      </w:r>
      <w:r w:rsidRPr="00564A08">
        <w:rPr>
          <w:sz w:val="20"/>
        </w:rPr>
        <w:tab/>
        <w:t>August 2014 – May 2018</w:t>
      </w:r>
    </w:p>
    <w:p w:rsidR="00603850" w:rsidRPr="00564A08" w:rsidRDefault="00603850" w:rsidP="008C47ED">
      <w:pPr>
        <w:tabs>
          <w:tab w:val="left" w:pos="720"/>
          <w:tab w:val="left" w:pos="1170"/>
          <w:tab w:val="left" w:pos="6120"/>
        </w:tabs>
        <w:jc w:val="both"/>
        <w:rPr>
          <w:sz w:val="20"/>
        </w:rPr>
      </w:pPr>
      <w:r w:rsidRPr="00564A08">
        <w:rPr>
          <w:sz w:val="20"/>
        </w:rPr>
        <w:tab/>
      </w:r>
      <w:r w:rsidRPr="00564A08">
        <w:rPr>
          <w:sz w:val="20"/>
        </w:rPr>
        <w:tab/>
        <w:t>Manager, Rates</w:t>
      </w:r>
      <w:r w:rsidRPr="00564A08">
        <w:rPr>
          <w:sz w:val="20"/>
        </w:rPr>
        <w:tab/>
        <w:t>August 2005 – July 2014</w:t>
      </w:r>
    </w:p>
    <w:p w:rsidR="00603850" w:rsidRPr="00564A08" w:rsidRDefault="00603850" w:rsidP="008C47ED">
      <w:pPr>
        <w:tabs>
          <w:tab w:val="left" w:pos="720"/>
          <w:tab w:val="left" w:pos="1170"/>
          <w:tab w:val="left" w:pos="6120"/>
        </w:tabs>
        <w:jc w:val="both"/>
        <w:rPr>
          <w:sz w:val="20"/>
        </w:rPr>
      </w:pPr>
      <w:r w:rsidRPr="00564A08">
        <w:rPr>
          <w:sz w:val="20"/>
        </w:rPr>
        <w:tab/>
      </w:r>
      <w:r w:rsidRPr="00564A08">
        <w:rPr>
          <w:sz w:val="20"/>
        </w:rPr>
        <w:tab/>
        <w:t>Manager, Pricing Planning &amp; Implementation</w:t>
      </w:r>
      <w:r w:rsidRPr="00564A08">
        <w:rPr>
          <w:sz w:val="20"/>
        </w:rPr>
        <w:tab/>
        <w:t>June 1998 – July 2005</w:t>
      </w:r>
    </w:p>
    <w:p w:rsidR="00603850" w:rsidRPr="00564A08" w:rsidRDefault="00603850" w:rsidP="008C47ED">
      <w:pPr>
        <w:tabs>
          <w:tab w:val="left" w:pos="720"/>
          <w:tab w:val="left" w:pos="1170"/>
          <w:tab w:val="left" w:pos="6120"/>
        </w:tabs>
        <w:jc w:val="both"/>
        <w:rPr>
          <w:sz w:val="20"/>
        </w:rPr>
      </w:pPr>
      <w:r w:rsidRPr="00564A08">
        <w:rPr>
          <w:sz w:val="20"/>
        </w:rPr>
        <w:tab/>
      </w:r>
      <w:r w:rsidRPr="00564A08">
        <w:rPr>
          <w:sz w:val="20"/>
        </w:rPr>
        <w:tab/>
        <w:t>Principal Rate Research Analyst</w:t>
      </w:r>
      <w:r w:rsidRPr="00564A08">
        <w:rPr>
          <w:sz w:val="20"/>
        </w:rPr>
        <w:tab/>
        <w:t>March 1997 – June 1998</w:t>
      </w:r>
    </w:p>
    <w:p w:rsidR="00F23CE2" w:rsidRDefault="00F23CE2" w:rsidP="00F23CE2">
      <w:pPr>
        <w:tabs>
          <w:tab w:val="left" w:pos="6120"/>
        </w:tabs>
        <w:jc w:val="both"/>
        <w:rPr>
          <w:b/>
          <w:sz w:val="20"/>
        </w:rPr>
      </w:pPr>
    </w:p>
    <w:p w:rsidR="00603850" w:rsidRPr="00564A08" w:rsidRDefault="00603850" w:rsidP="008C47ED">
      <w:pPr>
        <w:tabs>
          <w:tab w:val="left" w:pos="6120"/>
        </w:tabs>
        <w:jc w:val="both"/>
        <w:rPr>
          <w:b/>
          <w:sz w:val="20"/>
        </w:rPr>
      </w:pPr>
      <w:r w:rsidRPr="00564A08">
        <w:rPr>
          <w:b/>
          <w:sz w:val="20"/>
        </w:rPr>
        <w:lastRenderedPageBreak/>
        <w:t>Louisville Gas and Electric Company</w:t>
      </w:r>
      <w:r w:rsidRPr="00564A08">
        <w:rPr>
          <w:b/>
          <w:sz w:val="20"/>
        </w:rPr>
        <w:tab/>
        <w:t>September 1994 – March 1997</w:t>
      </w:r>
    </w:p>
    <w:p w:rsidR="00603850" w:rsidRPr="00564A08"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564A08">
        <w:rPr>
          <w:sz w:val="20"/>
        </w:rPr>
        <w:t>Louisville, Kentucky</w:t>
      </w:r>
    </w:p>
    <w:p w:rsidR="00603850" w:rsidRPr="00564A08" w:rsidRDefault="00603850" w:rsidP="008C47ED">
      <w:pPr>
        <w:tabs>
          <w:tab w:val="left" w:pos="720"/>
          <w:tab w:val="left" w:pos="1170"/>
          <w:tab w:val="left" w:pos="6120"/>
        </w:tabs>
        <w:jc w:val="both"/>
        <w:rPr>
          <w:sz w:val="20"/>
        </w:rPr>
      </w:pPr>
      <w:r w:rsidRPr="00564A08">
        <w:rPr>
          <w:sz w:val="20"/>
        </w:rPr>
        <w:t>Positions:</w:t>
      </w:r>
      <w:r w:rsidRPr="00564A08">
        <w:rPr>
          <w:sz w:val="20"/>
        </w:rPr>
        <w:tab/>
        <w:t>Lead Product Manager</w:t>
      </w:r>
      <w:r w:rsidRPr="00564A08">
        <w:rPr>
          <w:sz w:val="20"/>
        </w:rPr>
        <w:tab/>
        <w:t>November 1996 – March 1997</w:t>
      </w:r>
    </w:p>
    <w:p w:rsidR="00603850" w:rsidRDefault="00603850" w:rsidP="008C47ED">
      <w:pPr>
        <w:tabs>
          <w:tab w:val="left" w:pos="720"/>
          <w:tab w:val="left" w:pos="1170"/>
          <w:tab w:val="left" w:pos="6120"/>
        </w:tabs>
        <w:jc w:val="both"/>
        <w:rPr>
          <w:sz w:val="20"/>
        </w:rPr>
      </w:pPr>
      <w:r w:rsidRPr="00564A08">
        <w:rPr>
          <w:sz w:val="20"/>
        </w:rPr>
        <w:tab/>
      </w:r>
      <w:r w:rsidRPr="00564A08">
        <w:rPr>
          <w:sz w:val="20"/>
        </w:rPr>
        <w:tab/>
        <w:t>Rates and Regulatory Coordinator</w:t>
      </w:r>
      <w:r w:rsidRPr="00564A08">
        <w:rPr>
          <w:sz w:val="20"/>
        </w:rPr>
        <w:tab/>
        <w:t>September 1994 – October 1996</w:t>
      </w:r>
    </w:p>
    <w:p w:rsidR="00F23CE2" w:rsidRDefault="00F23CE2" w:rsidP="00F23CE2">
      <w:pPr>
        <w:tabs>
          <w:tab w:val="left" w:pos="6120"/>
        </w:tabs>
        <w:jc w:val="both"/>
        <w:rPr>
          <w:b/>
          <w:sz w:val="20"/>
        </w:rPr>
      </w:pPr>
    </w:p>
    <w:p w:rsidR="00603850" w:rsidRPr="00564A08" w:rsidRDefault="00603850" w:rsidP="008C47ED">
      <w:pPr>
        <w:tabs>
          <w:tab w:val="left" w:pos="6120"/>
        </w:tabs>
        <w:jc w:val="both"/>
        <w:rPr>
          <w:b/>
          <w:sz w:val="20"/>
        </w:rPr>
      </w:pPr>
      <w:r w:rsidRPr="00564A08">
        <w:rPr>
          <w:b/>
          <w:sz w:val="20"/>
        </w:rPr>
        <w:t>ABB Power T&amp;D Company</w:t>
      </w:r>
      <w:r w:rsidRPr="00564A08">
        <w:rPr>
          <w:b/>
          <w:sz w:val="20"/>
        </w:rPr>
        <w:tab/>
        <w:t>August 1989 - September 1994</w:t>
      </w:r>
    </w:p>
    <w:p w:rsidR="00603850" w:rsidRPr="00564A08"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Pr>
          <w:sz w:val="20"/>
        </w:rPr>
        <w:t xml:space="preserve">Pittsburgh, Pennsylvania and </w:t>
      </w:r>
      <w:r w:rsidRPr="00564A08">
        <w:rPr>
          <w:sz w:val="20"/>
        </w:rPr>
        <w:t>Raleigh, North Carolina</w:t>
      </w:r>
    </w:p>
    <w:p w:rsidR="00603850" w:rsidRPr="00564A08" w:rsidRDefault="00603850" w:rsidP="008C47ED">
      <w:pPr>
        <w:tabs>
          <w:tab w:val="left" w:pos="720"/>
          <w:tab w:val="left" w:pos="1170"/>
          <w:tab w:val="left" w:pos="6120"/>
        </w:tabs>
        <w:jc w:val="both"/>
        <w:rPr>
          <w:sz w:val="20"/>
        </w:rPr>
      </w:pPr>
      <w:r w:rsidRPr="00564A08">
        <w:rPr>
          <w:sz w:val="20"/>
        </w:rPr>
        <w:t>Positions:</w:t>
      </w:r>
      <w:r w:rsidRPr="00564A08">
        <w:rPr>
          <w:sz w:val="20"/>
        </w:rPr>
        <w:tab/>
        <w:t>Manager, Distribution Technologies Center</w:t>
      </w:r>
      <w:r w:rsidRPr="00564A08">
        <w:rPr>
          <w:sz w:val="20"/>
        </w:rPr>
        <w:tab/>
        <w:t>January 1994 - September 1994</w:t>
      </w:r>
    </w:p>
    <w:p w:rsidR="00603850" w:rsidRPr="00564A08" w:rsidRDefault="00603850" w:rsidP="008C47ED">
      <w:pPr>
        <w:tabs>
          <w:tab w:val="left" w:pos="720"/>
          <w:tab w:val="left" w:pos="1170"/>
          <w:tab w:val="left" w:pos="6120"/>
        </w:tabs>
        <w:jc w:val="both"/>
        <w:rPr>
          <w:sz w:val="20"/>
        </w:rPr>
      </w:pPr>
      <w:r w:rsidRPr="00564A08">
        <w:rPr>
          <w:sz w:val="20"/>
        </w:rPr>
        <w:tab/>
      </w:r>
      <w:r w:rsidRPr="00564A08">
        <w:rPr>
          <w:sz w:val="20"/>
        </w:rPr>
        <w:tab/>
        <w:t>Manager, Consulting Studies</w:t>
      </w:r>
      <w:r w:rsidRPr="00564A08">
        <w:rPr>
          <w:sz w:val="20"/>
        </w:rPr>
        <w:tab/>
        <w:t>June 1992 - December 1993</w:t>
      </w:r>
    </w:p>
    <w:p w:rsidR="00603850" w:rsidRPr="00564A08" w:rsidRDefault="00603850" w:rsidP="008C47ED">
      <w:pPr>
        <w:tabs>
          <w:tab w:val="left" w:pos="720"/>
          <w:tab w:val="left" w:pos="1170"/>
          <w:tab w:val="left" w:pos="6120"/>
        </w:tabs>
        <w:jc w:val="both"/>
        <w:rPr>
          <w:sz w:val="20"/>
        </w:rPr>
      </w:pPr>
      <w:r w:rsidRPr="00564A08">
        <w:rPr>
          <w:sz w:val="20"/>
        </w:rPr>
        <w:tab/>
      </w:r>
      <w:r w:rsidRPr="00564A08">
        <w:rPr>
          <w:sz w:val="20"/>
        </w:rPr>
        <w:tab/>
        <w:t>Consulting Engineer</w:t>
      </w:r>
      <w:r w:rsidRPr="00564A08">
        <w:rPr>
          <w:sz w:val="20"/>
        </w:rPr>
        <w:tab/>
        <w:t>August 1989 - May 1992</w:t>
      </w:r>
    </w:p>
    <w:p w:rsidR="00F23CE2" w:rsidRDefault="00F23CE2" w:rsidP="00F23CE2">
      <w:pPr>
        <w:tabs>
          <w:tab w:val="left" w:pos="6120"/>
        </w:tabs>
        <w:jc w:val="both"/>
        <w:rPr>
          <w:b/>
          <w:sz w:val="20"/>
        </w:rPr>
      </w:pPr>
    </w:p>
    <w:p w:rsidR="00603850" w:rsidRPr="00564A08" w:rsidRDefault="00603850" w:rsidP="008C47ED">
      <w:pPr>
        <w:tabs>
          <w:tab w:val="left" w:pos="6120"/>
        </w:tabs>
        <w:jc w:val="both"/>
        <w:rPr>
          <w:b/>
          <w:sz w:val="20"/>
        </w:rPr>
      </w:pPr>
      <w:r w:rsidRPr="00564A08">
        <w:rPr>
          <w:b/>
          <w:sz w:val="20"/>
        </w:rPr>
        <w:t>Southern Company Services, Inc., A Southern Company</w:t>
      </w:r>
      <w:r w:rsidRPr="00564A08">
        <w:rPr>
          <w:b/>
          <w:sz w:val="20"/>
        </w:rPr>
        <w:tab/>
        <w:t>March 1980 – July 1989</w:t>
      </w:r>
    </w:p>
    <w:p w:rsidR="00603850" w:rsidRPr="00564A08"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564A08">
        <w:rPr>
          <w:sz w:val="20"/>
        </w:rPr>
        <w:t>Atlanta, Georgia</w:t>
      </w:r>
    </w:p>
    <w:p w:rsidR="00603850" w:rsidRPr="00564A08" w:rsidRDefault="00603850" w:rsidP="008C47ED">
      <w:pPr>
        <w:tabs>
          <w:tab w:val="left" w:pos="720"/>
          <w:tab w:val="left" w:pos="1170"/>
          <w:tab w:val="left" w:pos="6120"/>
        </w:tabs>
        <w:jc w:val="both"/>
        <w:rPr>
          <w:sz w:val="20"/>
        </w:rPr>
      </w:pPr>
      <w:r w:rsidRPr="00564A08">
        <w:rPr>
          <w:sz w:val="20"/>
        </w:rPr>
        <w:t>Positions:</w:t>
      </w:r>
      <w:r w:rsidRPr="00564A08">
        <w:rPr>
          <w:sz w:val="20"/>
        </w:rPr>
        <w:tab/>
        <w:t>Principal Engineer – Rates &amp; Regulation</w:t>
      </w:r>
      <w:r w:rsidRPr="00564A08">
        <w:rPr>
          <w:sz w:val="20"/>
        </w:rPr>
        <w:tab/>
        <w:t>June 1987 – July 1989</w:t>
      </w:r>
    </w:p>
    <w:p w:rsidR="00603850" w:rsidRPr="00564A08" w:rsidRDefault="00603850" w:rsidP="008C47ED">
      <w:pPr>
        <w:tabs>
          <w:tab w:val="left" w:pos="720"/>
          <w:tab w:val="left" w:pos="1170"/>
          <w:tab w:val="left" w:pos="6120"/>
        </w:tabs>
        <w:jc w:val="both"/>
        <w:rPr>
          <w:sz w:val="20"/>
        </w:rPr>
      </w:pPr>
      <w:r w:rsidRPr="00564A08">
        <w:rPr>
          <w:sz w:val="20"/>
        </w:rPr>
        <w:tab/>
      </w:r>
      <w:r w:rsidRPr="00564A08">
        <w:rPr>
          <w:sz w:val="20"/>
        </w:rPr>
        <w:tab/>
        <w:t>Assistant to the Assistant Vice President</w:t>
      </w:r>
      <w:r w:rsidRPr="00564A08">
        <w:rPr>
          <w:sz w:val="20"/>
        </w:rPr>
        <w:tab/>
        <w:t>May 1984 – May 1987</w:t>
      </w:r>
    </w:p>
    <w:p w:rsidR="00603850" w:rsidRPr="00564A08" w:rsidRDefault="00603850" w:rsidP="008C47ED">
      <w:pPr>
        <w:tabs>
          <w:tab w:val="left" w:pos="720"/>
          <w:tab w:val="left" w:pos="1170"/>
          <w:tab w:val="left" w:pos="6120"/>
        </w:tabs>
        <w:jc w:val="both"/>
        <w:rPr>
          <w:sz w:val="20"/>
        </w:rPr>
      </w:pPr>
      <w:r w:rsidRPr="00564A08">
        <w:rPr>
          <w:sz w:val="20"/>
        </w:rPr>
        <w:tab/>
      </w:r>
      <w:r w:rsidRPr="00564A08">
        <w:rPr>
          <w:sz w:val="20"/>
        </w:rPr>
        <w:tab/>
        <w:t>Senior Rate Design Engineer</w:t>
      </w:r>
      <w:r w:rsidRPr="00564A08">
        <w:rPr>
          <w:sz w:val="20"/>
        </w:rPr>
        <w:tab/>
        <w:t>April 1983 – April 1984</w:t>
      </w:r>
    </w:p>
    <w:p w:rsidR="00603850" w:rsidRPr="00564A08" w:rsidRDefault="00603850" w:rsidP="008C47ED">
      <w:pPr>
        <w:tabs>
          <w:tab w:val="left" w:pos="720"/>
          <w:tab w:val="left" w:pos="1170"/>
          <w:tab w:val="left" w:pos="6120"/>
        </w:tabs>
        <w:jc w:val="both"/>
        <w:rPr>
          <w:sz w:val="20"/>
        </w:rPr>
      </w:pPr>
      <w:r w:rsidRPr="00564A08">
        <w:rPr>
          <w:sz w:val="20"/>
        </w:rPr>
        <w:tab/>
      </w:r>
      <w:r w:rsidRPr="00564A08">
        <w:rPr>
          <w:sz w:val="20"/>
        </w:rPr>
        <w:tab/>
        <w:t>Rate Design Engineer</w:t>
      </w:r>
      <w:r w:rsidRPr="00564A08">
        <w:rPr>
          <w:sz w:val="20"/>
        </w:rPr>
        <w:tab/>
        <w:t>March 1980 – March 1983</w:t>
      </w:r>
    </w:p>
    <w:p w:rsidR="00F23CE2" w:rsidRDefault="00F23CE2" w:rsidP="00F23CE2">
      <w:pPr>
        <w:tabs>
          <w:tab w:val="left" w:pos="6120"/>
        </w:tabs>
        <w:contextualSpacing/>
        <w:jc w:val="both"/>
        <w:rPr>
          <w:b/>
          <w:sz w:val="20"/>
        </w:rPr>
      </w:pPr>
    </w:p>
    <w:p w:rsidR="00603850" w:rsidRPr="00564A08" w:rsidRDefault="00603850" w:rsidP="008C47ED">
      <w:pPr>
        <w:tabs>
          <w:tab w:val="left" w:pos="6120"/>
        </w:tabs>
        <w:contextualSpacing/>
        <w:jc w:val="both"/>
        <w:rPr>
          <w:b/>
          <w:sz w:val="20"/>
        </w:rPr>
      </w:pPr>
      <w:r w:rsidRPr="00564A08">
        <w:rPr>
          <w:b/>
          <w:sz w:val="20"/>
        </w:rPr>
        <w:t>Public Service Company of Indiana, Inc.</w:t>
      </w:r>
      <w:r w:rsidRPr="00564A08">
        <w:rPr>
          <w:b/>
          <w:sz w:val="20"/>
        </w:rPr>
        <w:tab/>
        <w:t>May 1976 – February 1980</w:t>
      </w:r>
    </w:p>
    <w:p w:rsidR="00603850" w:rsidRPr="00564A08"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564A08">
        <w:rPr>
          <w:sz w:val="20"/>
        </w:rPr>
        <w:t>(Now known as Duke Energy – Indiana)</w:t>
      </w:r>
    </w:p>
    <w:p w:rsidR="00603850" w:rsidRPr="00564A08"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564A08">
        <w:rPr>
          <w:sz w:val="20"/>
        </w:rPr>
        <w:t>Plainfield, Indiana</w:t>
      </w:r>
    </w:p>
    <w:p w:rsidR="00603850" w:rsidRPr="00564A08" w:rsidRDefault="00603850" w:rsidP="008C47ED">
      <w:pPr>
        <w:tabs>
          <w:tab w:val="left" w:pos="720"/>
          <w:tab w:val="left" w:pos="1170"/>
          <w:tab w:val="left" w:pos="6120"/>
        </w:tabs>
        <w:jc w:val="both"/>
        <w:rPr>
          <w:sz w:val="20"/>
        </w:rPr>
      </w:pPr>
      <w:r w:rsidRPr="00564A08">
        <w:rPr>
          <w:sz w:val="20"/>
        </w:rPr>
        <w:t>Positions:</w:t>
      </w:r>
      <w:r w:rsidRPr="00564A08">
        <w:rPr>
          <w:sz w:val="20"/>
        </w:rPr>
        <w:tab/>
        <w:t>Rate Engineer</w:t>
      </w:r>
      <w:r w:rsidRPr="00564A08">
        <w:rPr>
          <w:sz w:val="20"/>
        </w:rPr>
        <w:tab/>
        <w:t>February 1979 – February 1980</w:t>
      </w:r>
    </w:p>
    <w:p w:rsidR="00603850" w:rsidRPr="00564A08" w:rsidRDefault="00603850" w:rsidP="008C47ED">
      <w:pPr>
        <w:tabs>
          <w:tab w:val="left" w:pos="720"/>
          <w:tab w:val="left" w:pos="1170"/>
          <w:tab w:val="left" w:pos="6120"/>
        </w:tabs>
        <w:jc w:val="both"/>
        <w:rPr>
          <w:sz w:val="20"/>
        </w:rPr>
      </w:pPr>
      <w:r w:rsidRPr="00564A08">
        <w:rPr>
          <w:sz w:val="20"/>
        </w:rPr>
        <w:tab/>
      </w:r>
      <w:r w:rsidRPr="00564A08">
        <w:rPr>
          <w:sz w:val="20"/>
        </w:rPr>
        <w:tab/>
        <w:t>Senior Industrial Marketing Engineer</w:t>
      </w:r>
      <w:r w:rsidRPr="00564A08">
        <w:rPr>
          <w:sz w:val="20"/>
        </w:rPr>
        <w:tab/>
        <w:t>May 1977 – January 1979</w:t>
      </w:r>
    </w:p>
    <w:p w:rsidR="00603850" w:rsidRPr="00564A08" w:rsidRDefault="00603850" w:rsidP="008C47ED">
      <w:pPr>
        <w:tabs>
          <w:tab w:val="left" w:pos="720"/>
          <w:tab w:val="left" w:pos="1170"/>
          <w:tab w:val="left" w:pos="6120"/>
        </w:tabs>
        <w:jc w:val="both"/>
        <w:rPr>
          <w:sz w:val="20"/>
        </w:rPr>
      </w:pPr>
      <w:r w:rsidRPr="00564A08">
        <w:rPr>
          <w:sz w:val="20"/>
        </w:rPr>
        <w:tab/>
      </w:r>
      <w:r w:rsidRPr="00564A08">
        <w:rPr>
          <w:sz w:val="20"/>
        </w:rPr>
        <w:tab/>
        <w:t>Engineer</w:t>
      </w:r>
      <w:r w:rsidRPr="00564A08">
        <w:rPr>
          <w:sz w:val="20"/>
        </w:rPr>
        <w:tab/>
        <w:t>May 1976 – April 1977</w:t>
      </w:r>
    </w:p>
    <w:p w:rsidR="00603850" w:rsidRPr="00564A08" w:rsidRDefault="00603850" w:rsidP="008C47ED">
      <w:pPr>
        <w:tabs>
          <w:tab w:val="left" w:pos="720"/>
          <w:tab w:val="left" w:pos="1170"/>
          <w:tab w:val="left" w:pos="6120"/>
        </w:tabs>
        <w:jc w:val="both"/>
        <w:rPr>
          <w:sz w:val="20"/>
        </w:rPr>
      </w:pPr>
      <w:r w:rsidRPr="00564A08">
        <w:rPr>
          <w:sz w:val="20"/>
        </w:rPr>
        <w:tab/>
      </w:r>
      <w:r w:rsidRPr="00564A08">
        <w:rPr>
          <w:sz w:val="20"/>
        </w:rPr>
        <w:tab/>
        <w:t>Student Engineer (Co-op and Part Time)</w:t>
      </w:r>
      <w:r w:rsidRPr="00564A08">
        <w:rPr>
          <w:sz w:val="20"/>
        </w:rPr>
        <w:tab/>
        <w:t>Prior to May 1976</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Pr="00564A08"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r w:rsidRPr="00564A08">
        <w:rPr>
          <w:b/>
          <w:sz w:val="20"/>
        </w:rPr>
        <w:t>EDUCATION</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Pr="00564A08"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564A08">
        <w:rPr>
          <w:b/>
          <w:sz w:val="20"/>
        </w:rPr>
        <w:t>University of Louisville</w:t>
      </w:r>
      <w:r w:rsidRPr="00564A08">
        <w:rPr>
          <w:sz w:val="20"/>
        </w:rPr>
        <w:t>, Louisville, Kentucky</w:t>
      </w:r>
    </w:p>
    <w:p w:rsidR="00603850" w:rsidRPr="00564A08" w:rsidRDefault="00603850" w:rsidP="00F23CE2">
      <w:pPr>
        <w:tabs>
          <w:tab w:val="left" w:pos="4680"/>
        </w:tabs>
        <w:jc w:val="both"/>
        <w:rPr>
          <w:sz w:val="20"/>
        </w:rPr>
      </w:pPr>
      <w:r w:rsidRPr="00564A08">
        <w:rPr>
          <w:sz w:val="20"/>
        </w:rPr>
        <w:t>Bachelor of Science (Electrical Engineering)</w:t>
      </w:r>
      <w:r w:rsidRPr="00564A08">
        <w:rPr>
          <w:sz w:val="20"/>
        </w:rPr>
        <w:tab/>
        <w:t>May 1975</w:t>
      </w:r>
    </w:p>
    <w:p w:rsidR="00603850" w:rsidRPr="00564A08" w:rsidRDefault="00603850" w:rsidP="00F23CE2">
      <w:pPr>
        <w:tabs>
          <w:tab w:val="left" w:pos="4680"/>
        </w:tabs>
        <w:jc w:val="both"/>
        <w:rPr>
          <w:sz w:val="20"/>
        </w:rPr>
      </w:pPr>
      <w:r w:rsidRPr="00564A08">
        <w:rPr>
          <w:sz w:val="20"/>
        </w:rPr>
        <w:t>Master of Engineering (Electrical Engineering)</w:t>
      </w:r>
      <w:r w:rsidRPr="00564A08">
        <w:rPr>
          <w:sz w:val="20"/>
        </w:rPr>
        <w:tab/>
        <w:t>May 1976</w:t>
      </w:r>
      <w:r w:rsidRPr="00564A08">
        <w:rPr>
          <w:sz w:val="20"/>
        </w:rPr>
        <w:tab/>
        <w:t>Thesis:  “Electrical Energy Management”</w:t>
      </w:r>
    </w:p>
    <w:p w:rsidR="00F23CE2" w:rsidRDefault="00F23CE2" w:rsidP="00F23CE2">
      <w:pPr>
        <w:tabs>
          <w:tab w:val="left" w:pos="180"/>
          <w:tab w:val="left" w:pos="5760"/>
          <w:tab w:val="left" w:pos="6480"/>
        </w:tabs>
        <w:jc w:val="both"/>
        <w:rPr>
          <w:b/>
          <w:sz w:val="20"/>
        </w:rPr>
      </w:pPr>
    </w:p>
    <w:p w:rsidR="00603850" w:rsidRPr="00DD204C" w:rsidRDefault="00603850" w:rsidP="00F23CE2">
      <w:pPr>
        <w:tabs>
          <w:tab w:val="left" w:pos="180"/>
          <w:tab w:val="left" w:pos="5760"/>
          <w:tab w:val="left" w:pos="6480"/>
        </w:tabs>
        <w:jc w:val="both"/>
        <w:rPr>
          <w:sz w:val="20"/>
        </w:rPr>
      </w:pPr>
      <w:r w:rsidRPr="00DD204C">
        <w:rPr>
          <w:b/>
          <w:sz w:val="20"/>
        </w:rPr>
        <w:t>PROFESSIONAL AFFILIATIONS</w:t>
      </w:r>
    </w:p>
    <w:p w:rsidR="00F23CE2" w:rsidRDefault="00F23CE2" w:rsidP="00F23CE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Default="00603850" w:rsidP="008C47ED">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DD204C">
        <w:rPr>
          <w:b/>
          <w:sz w:val="20"/>
        </w:rPr>
        <w:t>Institute of Electrical and Electronics Engineers</w:t>
      </w:r>
      <w:r>
        <w:rPr>
          <w:b/>
          <w:sz w:val="20"/>
        </w:rPr>
        <w:tab/>
      </w:r>
      <w:r w:rsidRPr="00DD204C">
        <w:rPr>
          <w:sz w:val="20"/>
        </w:rPr>
        <w:t>Senior Member, ID:  07062771 (Since 1974)</w:t>
      </w:r>
    </w:p>
    <w:p w:rsidR="00603850" w:rsidRPr="00471364" w:rsidRDefault="00603850" w:rsidP="001A72BB">
      <w:pPr>
        <w:numPr>
          <w:ilvl w:val="0"/>
          <w:numId w:val="7"/>
        </w:numPr>
        <w:tabs>
          <w:tab w:val="left" w:pos="3300"/>
        </w:tabs>
        <w:contextualSpacing/>
        <w:jc w:val="both"/>
        <w:rPr>
          <w:sz w:val="20"/>
        </w:rPr>
      </w:pPr>
      <w:r w:rsidRPr="00471364">
        <w:rPr>
          <w:sz w:val="20"/>
        </w:rPr>
        <w:t>Power Engineering Society:</w:t>
      </w:r>
      <w:r w:rsidRPr="00471364">
        <w:rPr>
          <w:sz w:val="20"/>
        </w:rPr>
        <w:tab/>
        <w:t>Customer Products and Services Subcommittee</w:t>
      </w:r>
    </w:p>
    <w:p w:rsidR="00603850" w:rsidRPr="00471364" w:rsidRDefault="00603850" w:rsidP="00F23CE2">
      <w:pPr>
        <w:tabs>
          <w:tab w:val="num" w:pos="720"/>
          <w:tab w:val="left" w:pos="3300"/>
        </w:tabs>
        <w:ind w:left="720"/>
        <w:jc w:val="both"/>
        <w:rPr>
          <w:sz w:val="20"/>
        </w:rPr>
      </w:pPr>
      <w:r w:rsidRPr="00471364">
        <w:rPr>
          <w:sz w:val="20"/>
        </w:rPr>
        <w:tab/>
        <w:t>Power Systems Planning and Implementation Subcommittee</w:t>
      </w:r>
    </w:p>
    <w:p w:rsidR="00603850" w:rsidRPr="00471364" w:rsidRDefault="00603850" w:rsidP="001A72BB">
      <w:pPr>
        <w:numPr>
          <w:ilvl w:val="0"/>
          <w:numId w:val="7"/>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471364">
        <w:rPr>
          <w:sz w:val="20"/>
        </w:rPr>
        <w:t>Industry Applications Society</w:t>
      </w:r>
    </w:p>
    <w:p w:rsidR="00F23CE2" w:rsidRDefault="00F23CE2" w:rsidP="00F23CE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Pr="00DD204C" w:rsidRDefault="00603850" w:rsidP="008C47ED">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DD204C">
        <w:rPr>
          <w:b/>
          <w:sz w:val="20"/>
        </w:rPr>
        <w:t>Association of Energy Engineers</w:t>
      </w:r>
      <w:r>
        <w:rPr>
          <w:b/>
          <w:sz w:val="20"/>
        </w:rPr>
        <w:tab/>
      </w:r>
      <w:r>
        <w:rPr>
          <w:b/>
          <w:sz w:val="20"/>
        </w:rPr>
        <w:tab/>
      </w:r>
      <w:r>
        <w:rPr>
          <w:b/>
          <w:sz w:val="20"/>
        </w:rPr>
        <w:tab/>
      </w:r>
      <w:r w:rsidRPr="00DD204C">
        <w:rPr>
          <w:sz w:val="20"/>
        </w:rPr>
        <w:t>Member, ID:  01969 (Since 1978)</w:t>
      </w:r>
    </w:p>
    <w:p w:rsidR="00F23CE2" w:rsidRDefault="00F23CE2" w:rsidP="00F23CE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Default="00603850" w:rsidP="008C47ED">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DD204C">
        <w:rPr>
          <w:b/>
          <w:sz w:val="20"/>
        </w:rPr>
        <w:t>Edison Electric Institute</w:t>
      </w:r>
      <w:r>
        <w:rPr>
          <w:b/>
          <w:sz w:val="20"/>
        </w:rPr>
        <w:tab/>
      </w:r>
      <w:r>
        <w:rPr>
          <w:b/>
          <w:sz w:val="20"/>
        </w:rPr>
        <w:tab/>
      </w:r>
      <w:r>
        <w:rPr>
          <w:b/>
          <w:sz w:val="20"/>
        </w:rPr>
        <w:tab/>
      </w:r>
      <w:r>
        <w:rPr>
          <w:b/>
          <w:sz w:val="20"/>
        </w:rPr>
        <w:tab/>
      </w:r>
      <w:r w:rsidRPr="00DD204C">
        <w:rPr>
          <w:sz w:val="20"/>
        </w:rPr>
        <w:t>Member, Rate Committee (2005 - 2018)</w:t>
      </w:r>
    </w:p>
    <w:p w:rsidR="00603850" w:rsidRPr="00471364" w:rsidRDefault="00603850" w:rsidP="001A72BB">
      <w:pPr>
        <w:numPr>
          <w:ilvl w:val="0"/>
          <w:numId w:val="7"/>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471364">
        <w:rPr>
          <w:sz w:val="20"/>
        </w:rPr>
        <w:t>Committee Chairman, 2012 - 2014</w:t>
      </w:r>
    </w:p>
    <w:p w:rsidR="00603850" w:rsidRPr="00471364" w:rsidRDefault="00603850" w:rsidP="001A72BB">
      <w:pPr>
        <w:numPr>
          <w:ilvl w:val="0"/>
          <w:numId w:val="7"/>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471364">
        <w:rPr>
          <w:sz w:val="20"/>
        </w:rPr>
        <w:t>Committee Vice Chairman, 2010 - 2012</w:t>
      </w:r>
    </w:p>
    <w:p w:rsidR="00F23CE2" w:rsidRDefault="00F23CE2" w:rsidP="00F23CE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Pr="00DD204C" w:rsidRDefault="00603850" w:rsidP="008C47ED">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DD204C">
        <w:rPr>
          <w:b/>
          <w:sz w:val="20"/>
        </w:rPr>
        <w:t>Southeastern Electric Exchange</w:t>
      </w:r>
      <w:r>
        <w:rPr>
          <w:b/>
          <w:sz w:val="20"/>
        </w:rPr>
        <w:tab/>
      </w:r>
      <w:r>
        <w:rPr>
          <w:b/>
          <w:sz w:val="20"/>
        </w:rPr>
        <w:tab/>
      </w:r>
      <w:r>
        <w:rPr>
          <w:b/>
          <w:sz w:val="20"/>
        </w:rPr>
        <w:tab/>
      </w:r>
      <w:r w:rsidRPr="00DD204C">
        <w:rPr>
          <w:sz w:val="20"/>
        </w:rPr>
        <w:t>Member, Rates &amp; Regulation Section (2010 - 2018)</w:t>
      </w:r>
    </w:p>
    <w:p w:rsidR="00F23CE2" w:rsidRDefault="00F23CE2" w:rsidP="00F23CE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Pr="00DD204C" w:rsidRDefault="00603850" w:rsidP="008C47ED">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DD204C">
        <w:rPr>
          <w:b/>
          <w:sz w:val="20"/>
        </w:rPr>
        <w:t>Registered Professional Engineer</w:t>
      </w:r>
      <w:r>
        <w:rPr>
          <w:b/>
          <w:sz w:val="20"/>
        </w:rPr>
        <w:t>:</w:t>
      </w:r>
    </w:p>
    <w:p w:rsidR="00603850" w:rsidRPr="00DD204C"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z w:val="20"/>
        </w:rPr>
      </w:pPr>
      <w:r>
        <w:rPr>
          <w:sz w:val="20"/>
        </w:rPr>
        <w:tab/>
      </w:r>
      <w:r w:rsidRPr="00DD204C">
        <w:rPr>
          <w:sz w:val="20"/>
        </w:rPr>
        <w:t>Alabama, ID:  13650-PE, December 1981</w:t>
      </w:r>
      <w:r w:rsidRPr="00DD204C">
        <w:rPr>
          <w:sz w:val="20"/>
        </w:rPr>
        <w:tab/>
        <w:t>Georgia, ID:  PE012852, April 1981</w:t>
      </w:r>
    </w:p>
    <w:p w:rsidR="00603850" w:rsidRPr="00667E75"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z w:val="20"/>
        </w:rPr>
      </w:pPr>
      <w:r>
        <w:rPr>
          <w:sz w:val="20"/>
        </w:rPr>
        <w:tab/>
      </w:r>
      <w:r w:rsidRPr="00DD204C">
        <w:rPr>
          <w:sz w:val="20"/>
        </w:rPr>
        <w:t>Indiana, ID:  PE60018668, January 1980</w:t>
      </w:r>
      <w:r w:rsidRPr="00DD204C">
        <w:rPr>
          <w:sz w:val="20"/>
        </w:rPr>
        <w:tab/>
        <w:t>Mississippi, ID:  08429, September 1981</w:t>
      </w:r>
    </w:p>
    <w:p w:rsidR="00603850" w:rsidRDefault="00603850" w:rsidP="008C47ED">
      <w:pPr>
        <w:tabs>
          <w:tab w:val="left" w:pos="720"/>
          <w:tab w:val="left" w:pos="4320"/>
          <w:tab w:val="left" w:pos="5040"/>
          <w:tab w:val="left" w:pos="5760"/>
          <w:tab w:val="left" w:pos="6480"/>
          <w:tab w:val="left" w:pos="7200"/>
          <w:tab w:val="left" w:pos="7920"/>
          <w:tab w:val="left" w:pos="8640"/>
        </w:tabs>
        <w:jc w:val="both"/>
        <w:rPr>
          <w:sz w:val="20"/>
        </w:rPr>
      </w:pPr>
      <w:r>
        <w:rPr>
          <w:sz w:val="20"/>
        </w:rPr>
        <w:tab/>
      </w:r>
      <w:r w:rsidRPr="00DD204C">
        <w:rPr>
          <w:sz w:val="20"/>
        </w:rPr>
        <w:t>Vogtage Engineering Corporat</w:t>
      </w:r>
      <w:r>
        <w:rPr>
          <w:sz w:val="20"/>
        </w:rPr>
        <w:t>e License:</w:t>
      </w:r>
      <w:r w:rsidRPr="00DD204C">
        <w:rPr>
          <w:sz w:val="20"/>
        </w:rPr>
        <w:tab/>
        <w:t>Mississippi Certificate of Authority:  E-2258</w:t>
      </w:r>
    </w:p>
    <w:p w:rsidR="00981526" w:rsidRDefault="00981526">
      <w:pPr>
        <w:rPr>
          <w:b/>
          <w:sz w:val="20"/>
        </w:rPr>
      </w:pPr>
      <w:r>
        <w:rPr>
          <w:b/>
          <w:sz w:val="20"/>
        </w:rPr>
        <w:br w:type="page"/>
      </w:r>
    </w:p>
    <w:p w:rsidR="00603850" w:rsidRPr="00471364" w:rsidRDefault="00603850" w:rsidP="00F23CE2">
      <w:pPr>
        <w:rPr>
          <w:b/>
          <w:sz w:val="20"/>
        </w:rPr>
      </w:pPr>
      <w:r w:rsidRPr="00471364">
        <w:rPr>
          <w:b/>
          <w:sz w:val="20"/>
        </w:rPr>
        <w:lastRenderedPageBreak/>
        <w:t>REGULATORY FILINGS AND TESTIMONY</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p>
    <w:p w:rsidR="00603850" w:rsidRPr="0047136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r w:rsidRPr="00471364">
        <w:rPr>
          <w:b/>
          <w:sz w:val="20"/>
        </w:rPr>
        <w:t>Mississippi Public Service Commission</w:t>
      </w:r>
    </w:p>
    <w:p w:rsidR="00603850" w:rsidRPr="0047136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471364">
        <w:rPr>
          <w:sz w:val="20"/>
        </w:rPr>
        <w:t>Testimony and appearances on behalf of Mississippi Power Company.</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2017-AD-112, 2017:  Encouraging Stipulation of Matters in Connection with the Kemper County IGCC Project; prefiled testimony on test period rate revenues; public hearing held; order issued.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2016-UA-230, 2016:  Jurisdictional Cost-of-Service Study as of December 31, 2015; prefiled testimony on cost assignment methodologies; order issued without a hearing.</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2015-UN-80, 2015:  A Change in Rates Related to the Kemper County IGCC Project; prefiled testimony on cost recovery methodology and rate schedule revisions; public hearing held; order issued.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2014-UN-10, 2014:  Establishment of an Energy Efficiency Quick Start Plan and Cost Recovery Rate; prefiled testimony on cost recovery methodology; order issued without a hearing.</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2013-UN-14, 2013:  A Change in Rates Related to the Kemper County IGCC Project; prefiled testimony on cost recovery methodology and rate schedule revisions; public hearing held; order issued.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2011-UN-0135, 2011:  Establishment of a Certificated New Plant Rate Schedule; prefiled testimony on cost recovery methodology and rate schedule revisions; public hearing held; order issued.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2011-AD-2, 2011:  Investigation of the Development and Implementation of Net Metering Programs and Standards; prefiled comments on specific issues that should be addressed in a possible rule; public hearing held; order issued.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1992-UN-0059, 2011:  Environmental Compliance Overview Plan; prefiled testimony on modification of the cost recovery mechanism and change in billing factors; public hearing held: order issued.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2010-AD-2, 2010:  Investigation of the Development and Implementation of Energy Efficiency Programs and Standards; prefiled comments on decoupling and lost sales, incentives, and program cost recovery; collaborative meetings; prefiled testimony on cost recovery; rulemaking order issued without a hearing.</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1992-UN-0059, 2010:  Environmental Compliance Overview Plan; prefiled testimony on change in billing factors; public hearing held: order issued.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1992-UN-0059, 2009:  Environmental Compliance Overview Plan; prefiled testimony on change in billing factors; public hearing held.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2008-AD-0477, 2008:  Energy Independence and Security Act of 2007; prefiled comments on “Rate Design Modifications to Promote Energy Efficiency Investments”; public hearing held: order issued.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2007-UN-0398. 2007:  Establishment of a Formulary Lighting Charge Rate Schedule; order issued without a hearing.</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2007-UN-0395. 2007:  Revision of the Cogeneration and Small Power Purchase Rate Schedule; order issued without a hearing.</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2007-AD-0201, 2007:  Energy Policy Act of 2005 -- Proposed PURPA Standards; prefiled comments on "Net Metering;" public hearing held: order issued.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2006-UN-0511, 2006:  Establishment of a System Restoration Rider Schedule; prefiled testimony on cost recovery methodology; order issued without a hearing.</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2005-UA-0555, 2006:  Hurricane Katrina System Restoration Cost Recovery; pre-filed testimony on cost recovery methodology; public hearing held: order issued.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jc w:val="both"/>
        <w:rPr>
          <w:sz w:val="20"/>
        </w:rPr>
      </w:pPr>
      <w:r w:rsidRPr="00471364">
        <w:rPr>
          <w:sz w:val="20"/>
        </w:rPr>
        <w:t>Docket 2006-AD-0362, 2006:  Energy Policy Act of 2005 -- Proposed PURPA Standards; prefiled comments on "Smart Metering and Interconnection"; public hearing held: order issued.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7" w:hanging="187"/>
        <w:jc w:val="both"/>
        <w:rPr>
          <w:sz w:val="20"/>
        </w:rPr>
      </w:pPr>
      <w:r w:rsidRPr="00471364">
        <w:rPr>
          <w:sz w:val="20"/>
        </w:rPr>
        <w:t>Docket 2003-UN-0898, 2005:  Performance Evaluation Plan General Increase in Rates; prefiled testimony on rate schedule revisions; public hearing held: order issued.</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p>
    <w:p w:rsidR="00603850" w:rsidRPr="0047136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r w:rsidRPr="00471364">
        <w:rPr>
          <w:b/>
          <w:sz w:val="20"/>
        </w:rPr>
        <w:t>Kentucky Public Service Commission</w:t>
      </w:r>
    </w:p>
    <w:p w:rsidR="00603850" w:rsidRPr="0047136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471364">
        <w:rPr>
          <w:sz w:val="20"/>
        </w:rPr>
        <w:t>Filings on behalf of Louisville Gas &amp; Electric Company.</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7" w:hanging="187"/>
        <w:jc w:val="both"/>
        <w:rPr>
          <w:sz w:val="20"/>
        </w:rPr>
      </w:pPr>
      <w:r w:rsidRPr="00471364">
        <w:rPr>
          <w:sz w:val="20"/>
        </w:rPr>
        <w:t>Case 95-239, 1995:  Small Power Production and Cogeneration Purchase Schedule; filed revised schedule SPPC-II; order issued without a hearing.</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7" w:hanging="187"/>
        <w:jc w:val="both"/>
        <w:rPr>
          <w:sz w:val="20"/>
        </w:rPr>
      </w:pPr>
      <w:r w:rsidRPr="00471364">
        <w:rPr>
          <w:sz w:val="20"/>
        </w:rPr>
        <w:t>Case 95-276, 1995:  Establishment of an Excess Facilities Rider; filed new schedule; order issued without a hearing.</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7" w:hanging="187"/>
        <w:jc w:val="both"/>
        <w:rPr>
          <w:sz w:val="20"/>
        </w:rPr>
      </w:pPr>
      <w:r w:rsidRPr="00471364">
        <w:rPr>
          <w:sz w:val="20"/>
        </w:rPr>
        <w:t>Case 93-150, 1995 and 1996:  Quarterly filing of exhibits and rates for Demand-Side Management Cost Recovery Mechanism; orders issued without a hearing.</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7" w:hanging="187"/>
        <w:jc w:val="both"/>
        <w:rPr>
          <w:sz w:val="20"/>
        </w:rPr>
      </w:pPr>
      <w:r w:rsidRPr="00471364">
        <w:rPr>
          <w:sz w:val="20"/>
        </w:rPr>
        <w:t>Case 73-146, 1995 and 1996:  Annual filing of exhibit and rate for Differential Underground Charge for New Residential Subdivisions; orders issued without a hearing.</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p>
    <w:p w:rsidR="00603850" w:rsidRPr="0047136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r w:rsidRPr="00471364">
        <w:rPr>
          <w:b/>
          <w:sz w:val="20"/>
        </w:rPr>
        <w:lastRenderedPageBreak/>
        <w:t>Indiana Utility Regulatory Commission</w:t>
      </w:r>
    </w:p>
    <w:p w:rsidR="00603850" w:rsidRPr="0047136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471364">
        <w:rPr>
          <w:sz w:val="20"/>
        </w:rPr>
        <w:t>Testimony and appearances on behalf of Public Service Indiana.</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7" w:hanging="187"/>
        <w:jc w:val="both"/>
        <w:rPr>
          <w:sz w:val="20"/>
        </w:rPr>
      </w:pPr>
      <w:r w:rsidRPr="00471364">
        <w:rPr>
          <w:sz w:val="20"/>
        </w:rPr>
        <w:t>Cause No. 35755, 1979:  Joint Petition of Public Service Company of Indiana, Inc. and United Rural Electric Membership Corporation; prefiled testimony addressing the rate impacts associated with the exchange of properties and customers; public hearing held; order issued.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7" w:hanging="187"/>
        <w:jc w:val="both"/>
        <w:rPr>
          <w:sz w:val="20"/>
        </w:rPr>
      </w:pPr>
      <w:r w:rsidRPr="00471364">
        <w:rPr>
          <w:sz w:val="20"/>
        </w:rPr>
        <w:t>Cause No. 35756, 1979:  Joint Petition of Public Service Company of Indiana, Inc. and Morgan County Rural Electric Membership Corporation; prefiled testimony addressing the rate impacts associated with the exchange of properties and customers; public hearing held; order issued.</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7" w:hanging="187"/>
        <w:jc w:val="both"/>
        <w:rPr>
          <w:sz w:val="20"/>
        </w:rPr>
      </w:pPr>
      <w:r w:rsidRPr="00471364">
        <w:rPr>
          <w:sz w:val="20"/>
        </w:rPr>
        <w:t>Cause No. 35954, 1979:  Joint Petition of Public Service Company of Indiana, Inc. and Parke County Rural Electric Membership Corporation; prefiled testimony addressing the rate impacts associated with the exchange of properties and customers; public hearing held; order issued.</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p>
    <w:p w:rsidR="00603850" w:rsidRPr="0047136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r w:rsidRPr="00471364">
        <w:rPr>
          <w:b/>
          <w:sz w:val="20"/>
        </w:rPr>
        <w:t>Federal Energy Regulatory Commission</w:t>
      </w:r>
    </w:p>
    <w:p w:rsidR="00603850" w:rsidRPr="0047136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471364">
        <w:rPr>
          <w:sz w:val="20"/>
        </w:rPr>
        <w:t>Testimony on behalf of Mississippi Power Company.</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contextualSpacing/>
        <w:jc w:val="both"/>
        <w:rPr>
          <w:sz w:val="20"/>
        </w:rPr>
      </w:pPr>
      <w:r w:rsidRPr="00471364">
        <w:rPr>
          <w:sz w:val="20"/>
        </w:rPr>
        <w:t>Docket ER11-1871, 2010:  Wholesale Rate Case</w:t>
      </w:r>
    </w:p>
    <w:p w:rsidR="00603850" w:rsidRPr="00471364" w:rsidRDefault="00603850" w:rsidP="00F23CE2">
      <w:pPr>
        <w:tabs>
          <w:tab w:val="left" w:pos="18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471364">
        <w:rPr>
          <w:sz w:val="20"/>
        </w:rPr>
        <w:tab/>
        <w:t>Prefiled testimony on rate design; case settled and order issued without a hearing.</w:t>
      </w:r>
    </w:p>
    <w:p w:rsidR="00603850" w:rsidRPr="00471364" w:rsidRDefault="00603850" w:rsidP="001A72BB">
      <w:pPr>
        <w:numPr>
          <w:ilvl w:val="0"/>
          <w:numId w:val="5"/>
        </w:numPr>
        <w:tabs>
          <w:tab w:val="left" w:pos="180"/>
          <w:tab w:val="left" w:pos="2160"/>
          <w:tab w:val="left" w:pos="2880"/>
          <w:tab w:val="left" w:pos="3600"/>
          <w:tab w:val="left" w:pos="4320"/>
          <w:tab w:val="left" w:pos="5040"/>
          <w:tab w:val="left" w:pos="5760"/>
          <w:tab w:val="left" w:pos="6480"/>
          <w:tab w:val="left" w:pos="7200"/>
          <w:tab w:val="left" w:pos="7920"/>
          <w:tab w:val="left" w:pos="8640"/>
        </w:tabs>
        <w:ind w:left="180" w:hanging="180"/>
        <w:contextualSpacing/>
        <w:jc w:val="both"/>
        <w:rPr>
          <w:sz w:val="20"/>
        </w:rPr>
      </w:pPr>
      <w:r w:rsidRPr="00471364">
        <w:rPr>
          <w:sz w:val="20"/>
        </w:rPr>
        <w:t>Docket ER08-1467, 2008:  Wholesale Rate Case</w:t>
      </w:r>
    </w:p>
    <w:p w:rsidR="00603850" w:rsidRPr="00471364" w:rsidRDefault="00603850" w:rsidP="00F23CE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471364">
        <w:rPr>
          <w:sz w:val="20"/>
        </w:rPr>
        <w:tab/>
        <w:t>Prefiled testimony on rate design; case settled and order issued without a hearing.</w:t>
      </w:r>
    </w:p>
    <w:p w:rsidR="00F23CE2" w:rsidRDefault="00F23CE2" w:rsidP="00F23CE2">
      <w:pPr>
        <w:rPr>
          <w:b/>
          <w:sz w:val="20"/>
        </w:rPr>
      </w:pPr>
    </w:p>
    <w:p w:rsidR="00603850" w:rsidRPr="00471364" w:rsidRDefault="00603850" w:rsidP="00F23CE2">
      <w:pPr>
        <w:rPr>
          <w:sz w:val="20"/>
        </w:rPr>
      </w:pPr>
      <w:r w:rsidRPr="00471364">
        <w:rPr>
          <w:b/>
          <w:sz w:val="20"/>
        </w:rPr>
        <w:t>PUBLICATIONS</w:t>
      </w:r>
    </w:p>
    <w:p w:rsidR="00F23CE2" w:rsidRDefault="00F23CE2" w:rsidP="00F23CE2">
      <w:pPr>
        <w:jc w:val="both"/>
        <w:rPr>
          <w:b/>
          <w:sz w:val="20"/>
        </w:rPr>
      </w:pPr>
    </w:p>
    <w:p w:rsidR="00603850" w:rsidRPr="00471364" w:rsidRDefault="00603850" w:rsidP="00F23CE2">
      <w:pPr>
        <w:jc w:val="both"/>
        <w:rPr>
          <w:sz w:val="20"/>
        </w:rPr>
      </w:pPr>
      <w:r w:rsidRPr="00471364">
        <w:rPr>
          <w:b/>
          <w:sz w:val="20"/>
        </w:rPr>
        <w:t>Books</w:t>
      </w:r>
    </w:p>
    <w:p w:rsidR="00603850" w:rsidRPr="00471364" w:rsidRDefault="00603850" w:rsidP="008C47ED">
      <w:pPr>
        <w:ind w:left="360" w:hanging="360"/>
        <w:jc w:val="both"/>
        <w:rPr>
          <w:sz w:val="20"/>
        </w:rPr>
      </w:pPr>
      <w:r w:rsidRPr="00471364">
        <w:rPr>
          <w:sz w:val="20"/>
        </w:rPr>
        <w:t xml:space="preserve">Lawrence J. Vogt, “Engineering Principles of Electricity Pricing,” Chapter 21 in </w:t>
      </w:r>
      <w:r w:rsidRPr="00471364">
        <w:rPr>
          <w:i/>
          <w:sz w:val="20"/>
        </w:rPr>
        <w:t>Power Systems</w:t>
      </w:r>
      <w:r w:rsidRPr="00471364">
        <w:rPr>
          <w:sz w:val="20"/>
        </w:rPr>
        <w:t>, 3</w:t>
      </w:r>
      <w:r w:rsidRPr="00471364">
        <w:rPr>
          <w:sz w:val="20"/>
          <w:vertAlign w:val="superscript"/>
        </w:rPr>
        <w:t>rd</w:t>
      </w:r>
      <w:r w:rsidRPr="00471364">
        <w:rPr>
          <w:sz w:val="20"/>
        </w:rPr>
        <w:t xml:space="preserve"> ed.  Edited by </w:t>
      </w:r>
      <w:r w:rsidRPr="00471364">
        <w:rPr>
          <w:iCs/>
          <w:sz w:val="20"/>
        </w:rPr>
        <w:t>Leonard L. Grigsby</w:t>
      </w:r>
      <w:r w:rsidRPr="00471364">
        <w:rPr>
          <w:sz w:val="20"/>
        </w:rPr>
        <w:t>, CRC Press, 2012.</w:t>
      </w:r>
    </w:p>
    <w:p w:rsidR="00603850" w:rsidRPr="00471364" w:rsidRDefault="00603850" w:rsidP="008C47ED">
      <w:pPr>
        <w:ind w:left="360" w:hanging="360"/>
        <w:jc w:val="both"/>
        <w:rPr>
          <w:sz w:val="20"/>
        </w:rPr>
      </w:pPr>
      <w:r w:rsidRPr="00471364">
        <w:rPr>
          <w:sz w:val="20"/>
        </w:rPr>
        <w:t xml:space="preserve">Lawrence J. Vogt, </w:t>
      </w:r>
      <w:r w:rsidRPr="00471364">
        <w:rPr>
          <w:i/>
          <w:sz w:val="20"/>
        </w:rPr>
        <w:t>Electricity Pricing:  Engineering Principles and Methodologies</w:t>
      </w:r>
      <w:r w:rsidRPr="00471364">
        <w:rPr>
          <w:sz w:val="20"/>
        </w:rPr>
        <w:t>, CRC Press, 2009.</w:t>
      </w:r>
    </w:p>
    <w:p w:rsidR="00603850" w:rsidRPr="00471364" w:rsidRDefault="00603850" w:rsidP="00F23CE2">
      <w:pPr>
        <w:ind w:left="360" w:hanging="360"/>
        <w:jc w:val="both"/>
        <w:rPr>
          <w:sz w:val="20"/>
        </w:rPr>
      </w:pPr>
      <w:r w:rsidRPr="00471364">
        <w:rPr>
          <w:sz w:val="20"/>
        </w:rPr>
        <w:t xml:space="preserve">Lawrence J. Vogt and David A. Conner, </w:t>
      </w:r>
      <w:r w:rsidRPr="00471364">
        <w:rPr>
          <w:i/>
          <w:sz w:val="20"/>
        </w:rPr>
        <w:t>Electrical Energy Management</w:t>
      </w:r>
      <w:r w:rsidRPr="00471364">
        <w:rPr>
          <w:sz w:val="20"/>
        </w:rPr>
        <w:t>, Lexington Books, 1977.</w:t>
      </w:r>
    </w:p>
    <w:p w:rsidR="00F23CE2" w:rsidRDefault="00F23CE2" w:rsidP="00F23CE2">
      <w:pPr>
        <w:jc w:val="both"/>
        <w:rPr>
          <w:b/>
          <w:sz w:val="20"/>
        </w:rPr>
      </w:pPr>
    </w:p>
    <w:p w:rsidR="00603850" w:rsidRPr="00471364" w:rsidRDefault="00603850" w:rsidP="00F23CE2">
      <w:pPr>
        <w:jc w:val="both"/>
        <w:rPr>
          <w:sz w:val="20"/>
        </w:rPr>
      </w:pPr>
      <w:r w:rsidRPr="00471364">
        <w:rPr>
          <w:b/>
          <w:sz w:val="20"/>
        </w:rPr>
        <w:t>Reports and Papers</w:t>
      </w:r>
    </w:p>
    <w:p w:rsidR="00603850" w:rsidRPr="00471364" w:rsidRDefault="00603850" w:rsidP="00F23CE2">
      <w:pPr>
        <w:ind w:left="360" w:hanging="360"/>
        <w:jc w:val="both"/>
        <w:rPr>
          <w:sz w:val="20"/>
        </w:rPr>
      </w:pPr>
      <w:r w:rsidRPr="00471364">
        <w:rPr>
          <w:sz w:val="20"/>
        </w:rPr>
        <w:t>H. L. Willis, L. J. Vogt, R. G. Huff, and W. R. Pettyjohn, "DSM:  Transmission and Distribution Impacts, Volume 1:  Analysis Framework and Test Case," EPRI Final Report CU-6924, Vol. 1, August 1990.</w:t>
      </w:r>
    </w:p>
    <w:p w:rsidR="00603850" w:rsidRPr="00471364" w:rsidRDefault="00603850" w:rsidP="00F23CE2">
      <w:pPr>
        <w:ind w:left="360" w:hanging="360"/>
        <w:jc w:val="both"/>
        <w:rPr>
          <w:sz w:val="20"/>
        </w:rPr>
      </w:pPr>
      <w:r w:rsidRPr="00471364">
        <w:rPr>
          <w:sz w:val="20"/>
        </w:rPr>
        <w:t>H. L. Willis, L. J. Vogt, H. N. Tram, and J. M. Fredley, "DSM:  Transmission and Distribution Impacts, Volume 2:  Application on Spatial Frequency Analysis," EPRI Final Report CU-6924, Vol. 2, August 1990.</w:t>
      </w:r>
    </w:p>
    <w:p w:rsidR="00603850" w:rsidRPr="00471364" w:rsidRDefault="00603850" w:rsidP="00F23CE2">
      <w:pPr>
        <w:ind w:left="360" w:hanging="360"/>
        <w:jc w:val="both"/>
        <w:rPr>
          <w:sz w:val="20"/>
        </w:rPr>
      </w:pPr>
      <w:r w:rsidRPr="00471364">
        <w:rPr>
          <w:sz w:val="20"/>
        </w:rPr>
        <w:t>J. Flory, J. Peters, L. Vogt, K. Keating, B. Hopkins, and N. R. Friedman, "Evaluating DSM:  Can An Engineer Count On It?" IEEE Transactions on Power Systems, Vol. 9, No. 4, pp. 1752 – 1758, February 1994.</w:t>
      </w:r>
    </w:p>
    <w:p w:rsidR="00603850" w:rsidRPr="00471364" w:rsidRDefault="00603850" w:rsidP="00F23CE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sz w:val="20"/>
        </w:rPr>
      </w:pPr>
      <w:r w:rsidRPr="00471364">
        <w:rPr>
          <w:sz w:val="20"/>
        </w:rPr>
        <w:t>Lawrence J. Vogt and H. Lee Willis, "Optimizing the Power System Impacts of Demand-Side Management,” IEE Conference Publication No. 373, CIRED 12th International Conference on Electricity Distribution, Birmingham, UK, pp. 6.4.1 – 6.4.5, May 1993.</w:t>
      </w:r>
    </w:p>
    <w:p w:rsidR="00603850" w:rsidRPr="00471364" w:rsidRDefault="00603850" w:rsidP="00F23CE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sz w:val="20"/>
        </w:rPr>
      </w:pPr>
      <w:r w:rsidRPr="00471364">
        <w:rPr>
          <w:sz w:val="20"/>
        </w:rPr>
        <w:t>Lawrence J. Vogt, H. Lee Willis, and Lynn C. Ribar, "DSM and the T&amp;D System:  A Complicated Interaction," EPRI CU-7394; Proceedings of the 5th National Demand-Side Management Conference, Boston, MA, pp. 305 - 309, August 1991.</w:t>
      </w:r>
    </w:p>
    <w:p w:rsidR="00603850" w:rsidRPr="00471364" w:rsidRDefault="00603850" w:rsidP="00F23CE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sz w:val="20"/>
        </w:rPr>
      </w:pPr>
      <w:r w:rsidRPr="00471364">
        <w:rPr>
          <w:sz w:val="20"/>
        </w:rPr>
        <w:t>Lawrence J. Vogt, H. Lee Willis, and Michael J. Buri, “Distribution Planning and DSM Assessment Using Satellite Imagery and Pattern Recognition,” Proceedings of the Pennsylvania Electric Association’s System Planning Committee Meeting, Wilkes-Barre, PA; May 1991.</w:t>
      </w:r>
    </w:p>
    <w:p w:rsidR="00603850" w:rsidRPr="00471364" w:rsidRDefault="00603850" w:rsidP="00F23CE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sz w:val="20"/>
        </w:rPr>
      </w:pPr>
      <w:r w:rsidRPr="00471364">
        <w:rPr>
          <w:sz w:val="20"/>
        </w:rPr>
        <w:t>Timothy S. Yau, William M. Smith, R. Gary Huff, Lawrence J. Vogt, and H. Lee Willis, "Demand-Side Management Impact on the Transmission and Distribution System," IEEE Transactions on Power Systems, Vol. 5, No. 2, pp. 506 – 512, May 1990.</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r w:rsidRPr="00B662E4">
        <w:rPr>
          <w:b/>
          <w:sz w:val="20"/>
          <w:szCs w:val="24"/>
        </w:rPr>
        <w:t>INDUSTRY PRESENTATIONS</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r w:rsidRPr="00B662E4">
        <w:rPr>
          <w:b/>
          <w:sz w:val="20"/>
          <w:szCs w:val="24"/>
        </w:rPr>
        <w:t>Institute of Electrical and Electronics Engineers</w:t>
      </w:r>
    </w:p>
    <w:p w:rsidR="00603850" w:rsidRPr="00B662E4" w:rsidRDefault="00603850" w:rsidP="00F23CE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B662E4">
        <w:rPr>
          <w:sz w:val="20"/>
        </w:rPr>
        <w:t>“Engineering in Customer Service Planning – Utility Products and Services,” IEEE Power Engineering Society Meeting, Seattle, WA; July 2000.</w:t>
      </w:r>
    </w:p>
    <w:p w:rsidR="00603850" w:rsidRPr="00B662E4" w:rsidRDefault="00603850" w:rsidP="008C47ED">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z w:val="20"/>
        </w:rPr>
      </w:pPr>
      <w:r w:rsidRPr="00B662E4">
        <w:rPr>
          <w:sz w:val="20"/>
        </w:rPr>
        <w:t>"Evaluating DSM:  Can an Engineer Count On It? – Verifying DSM Load Reduction:  T&amp;D Engineering Perspectives," IEEE Power Engineering Society Meeting, Seattle, WA; July 1992.</w:t>
      </w:r>
    </w:p>
    <w:p w:rsidR="00603850" w:rsidRPr="00B662E4" w:rsidRDefault="00603850" w:rsidP="00F23CE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r w:rsidRPr="00B662E4">
        <w:rPr>
          <w:b/>
          <w:sz w:val="20"/>
          <w:szCs w:val="24"/>
        </w:rPr>
        <w:lastRenderedPageBreak/>
        <w:t>Edison Electric Institute</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“Formulary Methodology for Pricing Lighting Facilities,” EEI Rate and Regulatory Affairs Committee Meeting, Chicago, IL; September 2013.</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bookmarkStart w:id="15" w:name="OLE_LINK1"/>
      <w:bookmarkStart w:id="16" w:name="OLE_LINK2"/>
      <w:r w:rsidRPr="00B662E4">
        <w:rPr>
          <w:sz w:val="20"/>
          <w:szCs w:val="24"/>
        </w:rPr>
        <w:t>“Minimum Distribution System:  Concepts and Applications,” EEI Rate and Regulatory Affairs Committee Meeting, Louisville, KY; March 2013.</w:t>
      </w:r>
      <w:bookmarkEnd w:id="15"/>
      <w:bookmarkEnd w:id="16"/>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“Trends in Riders:  What's Out There?” EEI Rate and Regulatory Affairs Committee Meeting, Clearwater, FL; March 2012.</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“Transition to Forecast Test Years:  Mississippi Power Perspective” and “Performance-Based Ratemaking for New Generation,” EEI Rate and Regulatory Affairs Committee Meeting, Alexandria, VA; September 2011.</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“Mississippi Power’s Retail Pricing Mechanisms,” EEI Rate and Regulatory Affairs Committee Meeting, Jersey City, NJ; March 2010.</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“Rate Design Transition at Mississippi Power,” EEI Rate and Regulatory Affairs Committee Meeting, New Orleans, LA; March 2009.</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“Ratemaking With Bary Curves,” EEI Rate Analysts Meeting, Louisville, KY; April 2008.</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“Ratemaking With Bary Curves,” EEI Rate and Regulatory Affairs Committee Meeting, San Francisco, CA; September 2007.</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r w:rsidRPr="00B662E4">
        <w:rPr>
          <w:sz w:val="20"/>
          <w:szCs w:val="24"/>
        </w:rPr>
        <w:t>“Hurricane Katrina:  Impacts and Cost Recovery Issues” and “Mississippi Power’s Performance Evaluation Plan,” EEI Rate and Regulatory Affairs Committee Meeting, Savannah, GA; March 2006.</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r w:rsidRPr="00B662E4">
        <w:rPr>
          <w:b/>
          <w:sz w:val="20"/>
          <w:szCs w:val="24"/>
        </w:rPr>
        <w:t>Southeastern Electric Exchange</w:t>
      </w:r>
    </w:p>
    <w:p w:rsidR="00603850"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Pr>
          <w:sz w:val="20"/>
          <w:szCs w:val="24"/>
        </w:rPr>
        <w:t xml:space="preserve">“Impacts of PV on Distribution Systems,” </w:t>
      </w:r>
      <w:r w:rsidRPr="00B662E4">
        <w:rPr>
          <w:sz w:val="20"/>
          <w:szCs w:val="24"/>
        </w:rPr>
        <w:t xml:space="preserve">S.E.E. Rates and Regulation Section Meeting, </w:t>
      </w:r>
      <w:r>
        <w:rPr>
          <w:sz w:val="20"/>
          <w:szCs w:val="24"/>
        </w:rPr>
        <w:t>Lexington</w:t>
      </w:r>
      <w:r w:rsidRPr="00B662E4">
        <w:rPr>
          <w:sz w:val="20"/>
          <w:szCs w:val="24"/>
        </w:rPr>
        <w:t xml:space="preserve">, </w:t>
      </w:r>
      <w:r>
        <w:rPr>
          <w:sz w:val="20"/>
          <w:szCs w:val="24"/>
        </w:rPr>
        <w:t>KY</w:t>
      </w:r>
      <w:r w:rsidRPr="00B662E4">
        <w:rPr>
          <w:sz w:val="20"/>
          <w:szCs w:val="24"/>
        </w:rPr>
        <w:t>; April 201</w:t>
      </w:r>
      <w:r>
        <w:rPr>
          <w:sz w:val="20"/>
          <w:szCs w:val="24"/>
        </w:rPr>
        <w:t>9</w:t>
      </w:r>
      <w:r w:rsidRPr="00B662E4">
        <w:rPr>
          <w:sz w:val="20"/>
          <w:szCs w:val="24"/>
        </w:rPr>
        <w:t>.</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“Demand and Energy Loss Factors Used in the Cost-of-Service Study,” S.E.E. Rates and Regulation Section Meeting, Charlotte, NC; April 2018.</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“Model-Based Approach to Rate Design:  Exploring Rate Relationships,” S.E.E. Rates and Regulation Section Meeting, Williamsburg, VA; April 2016.</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“Cost-Based Rate Design:  A Deeper Dive,</w:t>
      </w:r>
      <w:r>
        <w:rPr>
          <w:sz w:val="20"/>
          <w:szCs w:val="24"/>
        </w:rPr>
        <w:t>”</w:t>
      </w:r>
      <w:r w:rsidRPr="00B662E4">
        <w:rPr>
          <w:sz w:val="20"/>
          <w:szCs w:val="24"/>
        </w:rPr>
        <w:t xml:space="preserve"> S.E.E. Rates and Regulation Section Meeting, Mobile, AL, April 2015.</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“Straight Fixed–Variable Rate Design,” S.E.E. Rates and Regulation Section Meeting, Atlanta, GA; October 2014.</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“Update on Kemper County IGCC Energy Facility,” S.E.E. Rates and Regulation Section Meeting, Charleston, SC; October 2013.</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bookmarkStart w:id="17" w:name="OLE_LINK3"/>
      <w:bookmarkStart w:id="18" w:name="OLE_LINK4"/>
      <w:r w:rsidRPr="00B662E4">
        <w:rPr>
          <w:sz w:val="20"/>
          <w:szCs w:val="24"/>
        </w:rPr>
        <w:t>“Minimum Distribution System:  Concepts and Applications,” S.E.E. Rates and Regulation Section Meeting, Savannah, GA; October 2012.</w:t>
      </w:r>
      <w:bookmarkEnd w:id="17"/>
      <w:bookmarkEnd w:id="18"/>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“Formulary Lighting Pricing,” S.E.E. Rates and Regulation Section Meeting, New Orleans, LA; November 2011.</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“Mississippi Power’s Revenue Neutral Adjustment Clause,” S.E.E. Rates and Regulation Section Meeting, Atlanta, GA; May 2011.</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“Fundamentals of Rate Design Workshop,” S.E.E., Rates and Regulation Section Meeting, St. Petersburg, FL; May 8, 2003.</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"Cost Analysis and Rate Design:  Outdoor Lighting,” S.E.E. Rates and Regulation Section Meeting, Richmond, VA; October 1981.</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p>
    <w:p w:rsidR="00603850" w:rsidRPr="00B662E4"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r w:rsidRPr="00B662E4">
        <w:rPr>
          <w:b/>
          <w:sz w:val="20"/>
          <w:szCs w:val="24"/>
        </w:rPr>
        <w:t>EUCI Conferences</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“Experiences With Formulary Ratemaking,” EUCI’s 10</w:t>
      </w:r>
      <w:r w:rsidRPr="00B662E4">
        <w:rPr>
          <w:sz w:val="20"/>
          <w:szCs w:val="24"/>
          <w:vertAlign w:val="superscript"/>
        </w:rPr>
        <w:t>th</w:t>
      </w:r>
      <w:r w:rsidRPr="00B662E4">
        <w:rPr>
          <w:sz w:val="20"/>
          <w:szCs w:val="24"/>
        </w:rPr>
        <w:t xml:space="preserve"> Annual Electricity Pricing Conference, New Orleans, LA; September, 2012.  </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 xml:space="preserve">“Mississippi Power’s Success:  Hurricane Katrina Impacts and Response” and “Hurricane Katrina:  Cost Recovery Issues,” EUCI’s Disaster Management and Cost Recovery for Utilities and Energy Companies Conference, New Orleans, LA; June 2006.  </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“Planning DSM to Optimize T&amp;D Benefits,” EUCI’s Integrated Resource Planning Conference, Denver, CO; March 1993; Co-presenter – Lee Willis</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p>
    <w:p w:rsidR="00603850" w:rsidRPr="00B662E4"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r w:rsidRPr="00B662E4">
        <w:rPr>
          <w:b/>
          <w:sz w:val="20"/>
          <w:szCs w:val="24"/>
        </w:rPr>
        <w:t>Other Industry Conferences</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“Employing a Minimum Distribution System Methodology for the Cost-of-Service Study,” Marcus Evans Electric Utility Ratemaking Conference, Atlanta, GA; July 2013.</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“Bridging the Gap Between Cost of Service and Rate Design Structure,” The Prime Group’s Electric Cooperative Rate Conference, Louisville, KY; September 2007.</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lastRenderedPageBreak/>
        <w:t>“Developing Pricing Structures to Market Reliability-Based Service Options” (pre-conference workshop), The Center for Business Intelligence’s “Electric Distribution Reliability” Conference, Houston, TX; February 2001; Co instructor – Arlan W. Chenault.</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“Spatially Differentiated Pricing,” INFOCAST’s “Pricing Strategies for the Competitive Era” Seminar, Chicago, IL; January 1997.</w:t>
      </w:r>
    </w:p>
    <w:p w:rsidR="00603850" w:rsidRPr="00B662E4" w:rsidRDefault="00603850" w:rsidP="00F23CE2">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"DSM and the T&amp;D System:  A Complicated Interaction," The 5</w:t>
      </w:r>
      <w:r w:rsidRPr="00B662E4">
        <w:rPr>
          <w:sz w:val="20"/>
          <w:szCs w:val="24"/>
          <w:vertAlign w:val="superscript"/>
        </w:rPr>
        <w:t>th</w:t>
      </w:r>
      <w:r w:rsidRPr="00B662E4">
        <w:rPr>
          <w:sz w:val="20"/>
          <w:szCs w:val="24"/>
        </w:rPr>
        <w:t xml:space="preserve"> National Demand-Side Management Conference, Boston, MA, August 1991.</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“Distribution Planning and DSM Assessment Using Satellite Imagery and Pattern Recognition,” Pennsylvania Electric Association’s System Planning Committee Meeting, Wilkes-Barre, PA; May 1991.</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"DSM:  Transmission and Distribution Impacts," Electric Power Research Institute Workshops, Hartford, CT, November 1987; San Diego, CA, December 1987; Chattanooga, TN, March 1988; Minneapolis, MN, March 1988; Denver, CO, March 1988.</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"Purchased Energy Analysis and Energy Accounting," Open Pit Mining Association Meeting, New Orleans, LA; June 1979.</w:t>
      </w:r>
    </w:p>
    <w:p w:rsidR="00F23CE2" w:rsidRDefault="00F23CE2" w:rsidP="00F23CE2">
      <w:pPr>
        <w:contextualSpacing/>
        <w:jc w:val="both"/>
        <w:rPr>
          <w:b/>
          <w:sz w:val="20"/>
        </w:rPr>
      </w:pPr>
    </w:p>
    <w:p w:rsidR="00603850" w:rsidRPr="00CF3B98" w:rsidRDefault="00603850" w:rsidP="00F23CE2">
      <w:pPr>
        <w:contextualSpacing/>
        <w:jc w:val="both"/>
        <w:rPr>
          <w:b/>
          <w:sz w:val="20"/>
        </w:rPr>
      </w:pPr>
      <w:r w:rsidRPr="00CF3B98">
        <w:rPr>
          <w:b/>
          <w:sz w:val="20"/>
        </w:rPr>
        <w:t>The Energy Council</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Pr>
          <w:sz w:val="20"/>
        </w:rPr>
        <w:t>“Ratemaking 101,” Oklahoma City, OK, September 2018</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p>
    <w:p w:rsidR="00603850" w:rsidRPr="00B662E4"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r w:rsidRPr="00B662E4">
        <w:rPr>
          <w:b/>
          <w:sz w:val="20"/>
          <w:szCs w:val="24"/>
        </w:rPr>
        <w:t>Mississippi State Legislature Committee Sessions</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“Net Metering:  Issues and Solutions,” Joint Legislative Hearing on Energy Efficient Homes and Buildings, Jackson, MS; November 16, 2009.</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4"/>
        </w:rPr>
      </w:pPr>
      <w:r w:rsidRPr="00B662E4">
        <w:rPr>
          <w:sz w:val="20"/>
          <w:szCs w:val="24"/>
        </w:rPr>
        <w:t>“Net Metering Concerns,” House Agricultural Committee, Jackson, MS; November 12, 2008.</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Pr="00B662E4"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Pr>
          <w:b/>
          <w:sz w:val="20"/>
        </w:rPr>
        <w:t xml:space="preserve">AFFILIATED </w:t>
      </w:r>
      <w:r w:rsidRPr="00B662E4">
        <w:rPr>
          <w:b/>
          <w:sz w:val="20"/>
        </w:rPr>
        <w:t>TRAINING PROGRAMS:  Power Systems and Utility Ratemaking Programs</w:t>
      </w:r>
    </w:p>
    <w:p w:rsidR="00F23CE2" w:rsidRDefault="00F23CE2" w:rsidP="00F23CE2">
      <w:pPr>
        <w:autoSpaceDE w:val="0"/>
        <w:autoSpaceDN w:val="0"/>
        <w:adjustRightInd w:val="0"/>
        <w:rPr>
          <w:b/>
          <w:sz w:val="20"/>
          <w:u w:val="single"/>
        </w:rPr>
      </w:pPr>
    </w:p>
    <w:p w:rsidR="00603850" w:rsidRPr="00B662E4" w:rsidRDefault="00603850" w:rsidP="008C47ED">
      <w:pPr>
        <w:autoSpaceDE w:val="0"/>
        <w:autoSpaceDN w:val="0"/>
        <w:adjustRightInd w:val="0"/>
        <w:rPr>
          <w:b/>
          <w:sz w:val="20"/>
        </w:rPr>
      </w:pPr>
      <w:r w:rsidRPr="00B662E4">
        <w:rPr>
          <w:b/>
          <w:sz w:val="20"/>
          <w:u w:val="single"/>
        </w:rPr>
        <w:t>Webinar Courses</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rPr>
      </w:pPr>
    </w:p>
    <w:p w:rsidR="00603850" w:rsidRPr="00CF3B98"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4"/>
        </w:rPr>
      </w:pPr>
      <w:r w:rsidRPr="00B662E4">
        <w:rPr>
          <w:b/>
          <w:sz w:val="20"/>
        </w:rPr>
        <w:t>EUCI Electric Cost of Service and Rate Design Series</w:t>
      </w:r>
      <w:r>
        <w:rPr>
          <w:b/>
          <w:sz w:val="20"/>
        </w:rPr>
        <w:t>, Instructor</w:t>
      </w:r>
    </w:p>
    <w:p w:rsidR="00603850" w:rsidRPr="00B662E4" w:rsidRDefault="00603850" w:rsidP="00F23CE2">
      <w:pPr>
        <w:pStyle w:val="Default"/>
        <w:contextualSpacing/>
        <w:rPr>
          <w:rFonts w:ascii="Times New Roman" w:hAnsi="Times New Roman" w:cs="Times New Roman"/>
          <w:color w:val="auto"/>
          <w:sz w:val="20"/>
          <w:szCs w:val="20"/>
        </w:rPr>
      </w:pPr>
      <w:r w:rsidRPr="00B662E4">
        <w:rPr>
          <w:rFonts w:ascii="Times New Roman" w:hAnsi="Times New Roman" w:cs="Times New Roman"/>
          <w:color w:val="auto"/>
          <w:sz w:val="20"/>
          <w:szCs w:val="20"/>
        </w:rPr>
        <w:t>Session 1:  "Electric Cost of Service Concepts and Methodologies," March 21, 2012.</w:t>
      </w:r>
    </w:p>
    <w:p w:rsidR="00603850" w:rsidRPr="00B662E4" w:rsidRDefault="00603850" w:rsidP="00F23CE2">
      <w:pPr>
        <w:pStyle w:val="Default"/>
        <w:contextualSpacing/>
        <w:rPr>
          <w:rFonts w:ascii="Times New Roman" w:hAnsi="Times New Roman" w:cs="Times New Roman"/>
          <w:color w:val="auto"/>
          <w:sz w:val="20"/>
          <w:szCs w:val="20"/>
        </w:rPr>
      </w:pPr>
      <w:r w:rsidRPr="00B662E4">
        <w:rPr>
          <w:rFonts w:ascii="Times New Roman" w:hAnsi="Times New Roman" w:cs="Times New Roman"/>
          <w:color w:val="auto"/>
          <w:sz w:val="20"/>
          <w:szCs w:val="20"/>
        </w:rPr>
        <w:t>Session 2:  "Electric Rate Design Concepts and Methodologies," March 28, 2012.</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B662E4">
        <w:rPr>
          <w:sz w:val="20"/>
        </w:rPr>
        <w:t>Session 3:  "Risk Mitigation in Electric Rate Design," April 4, 2012.</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p>
    <w:p w:rsidR="00603850" w:rsidRPr="00B662E4"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r w:rsidRPr="00B662E4">
        <w:rPr>
          <w:b/>
          <w:sz w:val="20"/>
        </w:rPr>
        <w:t>Edison Electric Institute E-Forum Lecture Series</w:t>
      </w:r>
      <w:r>
        <w:rPr>
          <w:b/>
          <w:sz w:val="20"/>
        </w:rPr>
        <w:t>, Instructor</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B662E4">
        <w:rPr>
          <w:sz w:val="20"/>
        </w:rPr>
        <w:t>Sponsored by the EEI Rate and Regulatory Affairs Committee:</w:t>
      </w:r>
    </w:p>
    <w:p w:rsidR="00F23CE2" w:rsidRDefault="00F23CE2" w:rsidP="00F23CE2">
      <w:pPr>
        <w:pStyle w:val="Default"/>
        <w:contextualSpacing/>
        <w:rPr>
          <w:rFonts w:ascii="Times New Roman" w:hAnsi="Times New Roman"/>
          <w:sz w:val="20"/>
          <w:szCs w:val="20"/>
          <w:u w:val="single"/>
        </w:rPr>
      </w:pPr>
    </w:p>
    <w:p w:rsidR="00603850" w:rsidRPr="00A179D4" w:rsidRDefault="00603850" w:rsidP="00F23CE2">
      <w:pPr>
        <w:pStyle w:val="Default"/>
        <w:contextualSpacing/>
        <w:rPr>
          <w:rFonts w:ascii="Times New Roman" w:hAnsi="Times New Roman" w:cs="Times New Roman"/>
          <w:color w:val="auto"/>
          <w:sz w:val="20"/>
          <w:szCs w:val="20"/>
        </w:rPr>
      </w:pPr>
      <w:r w:rsidRPr="00B662E4">
        <w:rPr>
          <w:rFonts w:ascii="Times New Roman" w:hAnsi="Times New Roman"/>
          <w:sz w:val="20"/>
          <w:szCs w:val="20"/>
          <w:u w:val="single"/>
        </w:rPr>
        <w:t>Introduction to Alternative Regulation Series</w:t>
      </w:r>
      <w:r w:rsidRPr="00B662E4">
        <w:rPr>
          <w:rFonts w:ascii="Times New Roman" w:hAnsi="Times New Roman"/>
          <w:sz w:val="20"/>
          <w:szCs w:val="20"/>
        </w:rPr>
        <w:t>:</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B662E4">
        <w:rPr>
          <w:sz w:val="20"/>
        </w:rPr>
        <w:t>Session I:  “Rate Design to Ensure Fixed Cost Recovery:  Rate Reform,” March 30, 2010.</w:t>
      </w:r>
    </w:p>
    <w:p w:rsidR="00F23CE2" w:rsidRDefault="00F23CE2" w:rsidP="00F23CE2">
      <w:pPr>
        <w:pStyle w:val="Default"/>
        <w:contextualSpacing/>
        <w:rPr>
          <w:rFonts w:ascii="Times New Roman" w:hAnsi="Times New Roman"/>
          <w:sz w:val="20"/>
          <w:szCs w:val="20"/>
          <w:u w:val="single"/>
        </w:rPr>
      </w:pPr>
    </w:p>
    <w:p w:rsidR="00603850" w:rsidRPr="00A179D4" w:rsidRDefault="00603850" w:rsidP="00F23CE2">
      <w:pPr>
        <w:pStyle w:val="Default"/>
        <w:contextualSpacing/>
        <w:rPr>
          <w:rFonts w:ascii="Times New Roman" w:hAnsi="Times New Roman" w:cs="Times New Roman"/>
          <w:color w:val="auto"/>
          <w:sz w:val="20"/>
          <w:szCs w:val="20"/>
        </w:rPr>
      </w:pPr>
      <w:r w:rsidRPr="00B662E4">
        <w:rPr>
          <w:rFonts w:ascii="Times New Roman" w:hAnsi="Times New Roman"/>
          <w:sz w:val="20"/>
          <w:szCs w:val="20"/>
          <w:u w:val="single"/>
        </w:rPr>
        <w:t>Rate College Series</w:t>
      </w:r>
      <w:r w:rsidRPr="00B662E4">
        <w:rPr>
          <w:rFonts w:ascii="Times New Roman" w:hAnsi="Times New Roman"/>
          <w:sz w:val="20"/>
          <w:szCs w:val="20"/>
        </w:rPr>
        <w:t>:</w:t>
      </w:r>
    </w:p>
    <w:p w:rsidR="00603850" w:rsidRPr="00A179D4" w:rsidRDefault="00603850" w:rsidP="00F23CE2">
      <w:pPr>
        <w:pStyle w:val="Default"/>
        <w:contextualSpacing/>
        <w:rPr>
          <w:rFonts w:ascii="Times New Roman" w:hAnsi="Times New Roman" w:cs="Times New Roman"/>
          <w:color w:val="auto"/>
          <w:sz w:val="20"/>
          <w:szCs w:val="20"/>
        </w:rPr>
      </w:pPr>
      <w:r w:rsidRPr="00B662E4">
        <w:rPr>
          <w:rFonts w:ascii="Times New Roman" w:hAnsi="Times New Roman"/>
          <w:sz w:val="20"/>
          <w:szCs w:val="20"/>
        </w:rPr>
        <w:t>Session 16:  “Managing Risk Through Rate Schedule Billing and Service Provisions,” September 22, 2009.</w:t>
      </w:r>
    </w:p>
    <w:p w:rsidR="00603850" w:rsidRPr="00A179D4" w:rsidRDefault="00603850" w:rsidP="00F23CE2">
      <w:pPr>
        <w:pStyle w:val="Default"/>
        <w:contextualSpacing/>
        <w:rPr>
          <w:rFonts w:ascii="Times New Roman" w:hAnsi="Times New Roman" w:cs="Times New Roman"/>
          <w:color w:val="auto"/>
          <w:sz w:val="20"/>
          <w:szCs w:val="20"/>
        </w:rPr>
      </w:pPr>
      <w:r w:rsidRPr="00B662E4">
        <w:rPr>
          <w:rFonts w:ascii="Times New Roman" w:hAnsi="Times New Roman"/>
          <w:sz w:val="20"/>
          <w:szCs w:val="20"/>
        </w:rPr>
        <w:t>Session 13:  “Rate Design for the Rate Case,” May 13, 2009.</w:t>
      </w:r>
    </w:p>
    <w:p w:rsidR="00603850" w:rsidRPr="00A179D4" w:rsidRDefault="00603850" w:rsidP="00F23CE2">
      <w:pPr>
        <w:pStyle w:val="Default"/>
        <w:contextualSpacing/>
        <w:rPr>
          <w:rFonts w:ascii="Times New Roman" w:hAnsi="Times New Roman" w:cs="Times New Roman"/>
          <w:color w:val="auto"/>
          <w:sz w:val="20"/>
          <w:szCs w:val="20"/>
        </w:rPr>
      </w:pPr>
      <w:r w:rsidRPr="00B662E4">
        <w:rPr>
          <w:rFonts w:ascii="Times New Roman" w:hAnsi="Times New Roman"/>
          <w:sz w:val="20"/>
          <w:szCs w:val="20"/>
        </w:rPr>
        <w:t>Session 11:  “Rate Design:  Translating Costs to Rates,” February 25, 2009.</w:t>
      </w:r>
    </w:p>
    <w:p w:rsidR="00603850" w:rsidRPr="00A179D4" w:rsidRDefault="00603850" w:rsidP="00F23CE2">
      <w:pPr>
        <w:pStyle w:val="Default"/>
        <w:contextualSpacing/>
        <w:rPr>
          <w:rFonts w:ascii="Times New Roman" w:hAnsi="Times New Roman" w:cs="Times New Roman"/>
          <w:color w:val="auto"/>
          <w:sz w:val="20"/>
          <w:szCs w:val="20"/>
        </w:rPr>
      </w:pPr>
      <w:r w:rsidRPr="00B662E4">
        <w:rPr>
          <w:rFonts w:ascii="Times New Roman" w:hAnsi="Times New Roman"/>
          <w:sz w:val="20"/>
          <w:szCs w:val="20"/>
        </w:rPr>
        <w:t>Session 8:  “The Embedded Cost-of-Service Study:  Allocation Methodologies and Results,” August 26, 2008.</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B662E4">
        <w:rPr>
          <w:sz w:val="20"/>
        </w:rPr>
        <w:t>Session 7:  “The Embedded Cost-of-Service Study:  Functionalization and Classification Methodologies,” June 18, 2008.</w:t>
      </w:r>
    </w:p>
    <w:p w:rsidR="00F23CE2" w:rsidRDefault="00F23CE2" w:rsidP="00F23CE2">
      <w:pPr>
        <w:autoSpaceDE w:val="0"/>
        <w:autoSpaceDN w:val="0"/>
        <w:adjustRightInd w:val="0"/>
        <w:rPr>
          <w:b/>
          <w:sz w:val="20"/>
          <w:u w:val="single"/>
        </w:rPr>
      </w:pPr>
    </w:p>
    <w:p w:rsidR="00603850" w:rsidRPr="00CF3B98" w:rsidRDefault="00603850" w:rsidP="008C47ED">
      <w:pPr>
        <w:autoSpaceDE w:val="0"/>
        <w:autoSpaceDN w:val="0"/>
        <w:adjustRightInd w:val="0"/>
        <w:rPr>
          <w:b/>
          <w:sz w:val="20"/>
        </w:rPr>
      </w:pPr>
      <w:r w:rsidRPr="00B662E4">
        <w:rPr>
          <w:b/>
          <w:sz w:val="20"/>
          <w:u w:val="single"/>
        </w:rPr>
        <w:t>Classroom Courses</w:t>
      </w:r>
    </w:p>
    <w:p w:rsidR="00603850" w:rsidRPr="00B662E4" w:rsidRDefault="00603850" w:rsidP="008C47ED">
      <w:pPr>
        <w:autoSpaceDE w:val="0"/>
        <w:autoSpaceDN w:val="0"/>
        <w:adjustRightInd w:val="0"/>
        <w:rPr>
          <w:b/>
          <w:sz w:val="20"/>
        </w:rPr>
      </w:pPr>
      <w:r w:rsidRPr="00B662E4">
        <w:rPr>
          <w:b/>
          <w:sz w:val="20"/>
        </w:rPr>
        <w:t>EUCI, Instructor</w:t>
      </w:r>
    </w:p>
    <w:p w:rsidR="00603850" w:rsidRPr="00B662E4" w:rsidRDefault="00603850" w:rsidP="00F23CE2">
      <w:pPr>
        <w:autoSpaceDE w:val="0"/>
        <w:autoSpaceDN w:val="0"/>
        <w:adjustRightInd w:val="0"/>
        <w:rPr>
          <w:sz w:val="20"/>
        </w:rPr>
      </w:pPr>
      <w:r w:rsidRPr="00B662E4">
        <w:rPr>
          <w:sz w:val="20"/>
        </w:rPr>
        <w:t>“An Introduction to Electric Utility Systems” (1½ day course).</w:t>
      </w:r>
    </w:p>
    <w:p w:rsidR="00F23CE2" w:rsidRDefault="00F23CE2" w:rsidP="00F23CE2">
      <w:pPr>
        <w:autoSpaceDE w:val="0"/>
        <w:autoSpaceDN w:val="0"/>
        <w:adjustRightInd w:val="0"/>
        <w:rPr>
          <w:sz w:val="20"/>
          <w:u w:val="single"/>
        </w:rPr>
      </w:pPr>
    </w:p>
    <w:p w:rsidR="00603850" w:rsidRPr="00B662E4" w:rsidRDefault="00603850" w:rsidP="00F23CE2">
      <w:pPr>
        <w:autoSpaceDE w:val="0"/>
        <w:autoSpaceDN w:val="0"/>
        <w:adjustRightInd w:val="0"/>
        <w:rPr>
          <w:sz w:val="20"/>
        </w:rPr>
      </w:pPr>
      <w:r w:rsidRPr="00B662E4">
        <w:rPr>
          <w:sz w:val="20"/>
          <w:u w:val="single"/>
        </w:rPr>
        <w:t>Open Enrollment Courses</w:t>
      </w:r>
      <w:r w:rsidRPr="00B662E4">
        <w:rPr>
          <w:sz w:val="20"/>
        </w:rPr>
        <w:t>:  Multiple venues, 2013 - Present.</w:t>
      </w:r>
    </w:p>
    <w:p w:rsidR="00F23CE2" w:rsidRDefault="00F23CE2" w:rsidP="00F23CE2">
      <w:pPr>
        <w:autoSpaceDE w:val="0"/>
        <w:autoSpaceDN w:val="0"/>
        <w:adjustRightInd w:val="0"/>
        <w:rPr>
          <w:sz w:val="20"/>
          <w:u w:val="single"/>
        </w:rPr>
      </w:pPr>
    </w:p>
    <w:p w:rsidR="00603850" w:rsidRPr="00B662E4" w:rsidRDefault="00603850" w:rsidP="00F23CE2">
      <w:pPr>
        <w:autoSpaceDE w:val="0"/>
        <w:autoSpaceDN w:val="0"/>
        <w:adjustRightInd w:val="0"/>
        <w:rPr>
          <w:sz w:val="20"/>
        </w:rPr>
      </w:pPr>
      <w:r w:rsidRPr="00B662E4">
        <w:rPr>
          <w:sz w:val="20"/>
          <w:u w:val="single"/>
        </w:rPr>
        <w:t>In-House Courses</w:t>
      </w:r>
      <w:r w:rsidRPr="00B662E4">
        <w:rPr>
          <w:sz w:val="20"/>
        </w:rPr>
        <w:t>:</w:t>
      </w:r>
    </w:p>
    <w:p w:rsidR="00603850" w:rsidRDefault="00603850" w:rsidP="001A72BB">
      <w:pPr>
        <w:numPr>
          <w:ilvl w:val="0"/>
          <w:numId w:val="5"/>
        </w:numPr>
        <w:autoSpaceDE w:val="0"/>
        <w:autoSpaceDN w:val="0"/>
        <w:adjustRightInd w:val="0"/>
        <w:ind w:left="360"/>
        <w:rPr>
          <w:sz w:val="20"/>
        </w:rPr>
      </w:pPr>
      <w:r>
        <w:rPr>
          <w:sz w:val="20"/>
        </w:rPr>
        <w:t>Southern California Public Power Association, Glendora, CA, September 2018</w:t>
      </w:r>
    </w:p>
    <w:p w:rsidR="00603850" w:rsidRPr="00B662E4" w:rsidRDefault="00603850" w:rsidP="001A72BB">
      <w:pPr>
        <w:numPr>
          <w:ilvl w:val="0"/>
          <w:numId w:val="5"/>
        </w:numPr>
        <w:autoSpaceDE w:val="0"/>
        <w:autoSpaceDN w:val="0"/>
        <w:adjustRightInd w:val="0"/>
        <w:ind w:left="360"/>
        <w:rPr>
          <w:sz w:val="20"/>
        </w:rPr>
      </w:pPr>
      <w:r w:rsidRPr="00B662E4">
        <w:rPr>
          <w:sz w:val="20"/>
        </w:rPr>
        <w:t>Belize Electricity Limited, Belize City, November 2016.</w:t>
      </w:r>
    </w:p>
    <w:p w:rsidR="00603850" w:rsidRPr="00B662E4" w:rsidRDefault="00603850" w:rsidP="001A72BB">
      <w:pPr>
        <w:numPr>
          <w:ilvl w:val="0"/>
          <w:numId w:val="5"/>
        </w:numPr>
        <w:autoSpaceDE w:val="0"/>
        <w:autoSpaceDN w:val="0"/>
        <w:adjustRightInd w:val="0"/>
        <w:ind w:left="360"/>
        <w:rPr>
          <w:sz w:val="20"/>
        </w:rPr>
      </w:pPr>
      <w:r w:rsidRPr="00B662E4">
        <w:rPr>
          <w:sz w:val="20"/>
        </w:rPr>
        <w:t>California Public Service Commission, San Francisco, August 2014.</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r w:rsidRPr="00B662E4">
        <w:rPr>
          <w:b/>
          <w:sz w:val="20"/>
        </w:rPr>
        <w:lastRenderedPageBreak/>
        <w:t>Wisconsin Public Utility Institute, Instructor</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p>
    <w:p w:rsidR="00603850" w:rsidRPr="00B662E4"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B662E4">
        <w:rPr>
          <w:sz w:val="20"/>
        </w:rPr>
        <w:t>Sponsored Programs:</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z w:val="20"/>
        </w:rPr>
      </w:pPr>
      <w:r w:rsidRPr="00B662E4">
        <w:rPr>
          <w:sz w:val="20"/>
          <w:u w:val="single"/>
        </w:rPr>
        <w:t>Annual EEI Advanced Rate Design Course</w:t>
      </w:r>
      <w:r w:rsidRPr="00B662E4">
        <w:rPr>
          <w:sz w:val="20"/>
        </w:rPr>
        <w:t>:</w:t>
      </w:r>
    </w:p>
    <w:p w:rsidR="00603850" w:rsidRPr="00B662E4" w:rsidRDefault="00603850" w:rsidP="001A72BB">
      <w:pPr>
        <w:numPr>
          <w:ilvl w:val="0"/>
          <w:numId w:val="8"/>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contextualSpacing/>
        <w:jc w:val="both"/>
        <w:rPr>
          <w:sz w:val="20"/>
        </w:rPr>
      </w:pPr>
      <w:r w:rsidRPr="00B662E4">
        <w:rPr>
          <w:sz w:val="20"/>
        </w:rPr>
        <w:t>“An In-depth View of the Customer Charge,” July 2016 – Present.</w:t>
      </w:r>
    </w:p>
    <w:p w:rsidR="00603850" w:rsidRPr="00B662E4" w:rsidRDefault="00603850" w:rsidP="001A72BB">
      <w:pPr>
        <w:numPr>
          <w:ilvl w:val="0"/>
          <w:numId w:val="8"/>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contextualSpacing/>
        <w:jc w:val="both"/>
        <w:rPr>
          <w:sz w:val="20"/>
        </w:rPr>
      </w:pPr>
      <w:r w:rsidRPr="00B662E4">
        <w:rPr>
          <w:sz w:val="20"/>
        </w:rPr>
        <w:t>“A Distribution Engineer’s View of a Minimum Distribution System Methodology,” 2013 -2015.</w:t>
      </w:r>
    </w:p>
    <w:p w:rsidR="00603850" w:rsidRPr="00B662E4" w:rsidRDefault="00603850" w:rsidP="001A72BB">
      <w:pPr>
        <w:numPr>
          <w:ilvl w:val="0"/>
          <w:numId w:val="8"/>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both"/>
        <w:rPr>
          <w:sz w:val="20"/>
        </w:rPr>
      </w:pPr>
      <w:r w:rsidRPr="00B662E4">
        <w:rPr>
          <w:sz w:val="20"/>
        </w:rPr>
        <w:t>“Demand Rate Design Methodology,” July 2012.</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z w:val="20"/>
          <w:u w:val="single"/>
        </w:rPr>
      </w:pP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z w:val="20"/>
        </w:rPr>
      </w:pPr>
      <w:r w:rsidRPr="00B662E4">
        <w:rPr>
          <w:sz w:val="20"/>
          <w:u w:val="single"/>
        </w:rPr>
        <w:t>Market Inflection Drivers for Service Utilities:  Tracking the Trends Series</w:t>
      </w:r>
      <w:r w:rsidRPr="00B662E4">
        <w:rPr>
          <w:sz w:val="20"/>
        </w:rPr>
        <w:t>:</w:t>
      </w:r>
    </w:p>
    <w:p w:rsidR="00603850" w:rsidRPr="00B662E4" w:rsidRDefault="00603850" w:rsidP="001A72BB">
      <w:pPr>
        <w:numPr>
          <w:ilvl w:val="0"/>
          <w:numId w:val="5"/>
        </w:numPr>
        <w:autoSpaceDE w:val="0"/>
        <w:autoSpaceDN w:val="0"/>
        <w:adjustRightInd w:val="0"/>
        <w:ind w:left="360"/>
        <w:rPr>
          <w:sz w:val="20"/>
        </w:rPr>
      </w:pPr>
      <w:r w:rsidRPr="00B662E4">
        <w:rPr>
          <w:sz w:val="20"/>
        </w:rPr>
        <w:t>“Economics and Engineering in a New Partnership:  Cost of Service,” June 2017.</w:t>
      </w:r>
    </w:p>
    <w:p w:rsidR="00603850" w:rsidRDefault="00603850" w:rsidP="001A72BB">
      <w:pPr>
        <w:numPr>
          <w:ilvl w:val="0"/>
          <w:numId w:val="5"/>
        </w:numPr>
        <w:autoSpaceDE w:val="0"/>
        <w:autoSpaceDN w:val="0"/>
        <w:adjustRightInd w:val="0"/>
        <w:ind w:left="360"/>
        <w:rPr>
          <w:sz w:val="20"/>
        </w:rPr>
      </w:pPr>
      <w:r w:rsidRPr="00B662E4">
        <w:rPr>
          <w:sz w:val="20"/>
        </w:rPr>
        <w:t>“Roll of Engineering in Distribution System Cost Recovery,” August 2016.</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z w:val="20"/>
          <w:u w:val="single"/>
        </w:rPr>
      </w:pP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z w:val="20"/>
        </w:rPr>
      </w:pPr>
      <w:r w:rsidRPr="00B662E4">
        <w:rPr>
          <w:sz w:val="20"/>
          <w:u w:val="single"/>
        </w:rPr>
        <w:t>Large Public Power Council Roundtable</w:t>
      </w:r>
      <w:r w:rsidRPr="00B662E4">
        <w:rPr>
          <w:sz w:val="20"/>
        </w:rPr>
        <w:t>:</w:t>
      </w:r>
    </w:p>
    <w:p w:rsidR="00603850" w:rsidRPr="00B662E4" w:rsidRDefault="00603850" w:rsidP="001A72BB">
      <w:pPr>
        <w:numPr>
          <w:ilvl w:val="0"/>
          <w:numId w:val="9"/>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both"/>
        <w:rPr>
          <w:sz w:val="20"/>
        </w:rPr>
      </w:pPr>
      <w:r w:rsidRPr="00B662E4">
        <w:rPr>
          <w:sz w:val="20"/>
        </w:rPr>
        <w:t>“Impact of Distributed Resources on Cost-of-Service and Rate Design,” August 2016.</w:t>
      </w:r>
    </w:p>
    <w:p w:rsidR="00603850" w:rsidRPr="00B662E4" w:rsidRDefault="00603850" w:rsidP="001A72BB">
      <w:pPr>
        <w:numPr>
          <w:ilvl w:val="0"/>
          <w:numId w:val="9"/>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both"/>
        <w:rPr>
          <w:sz w:val="20"/>
        </w:rPr>
      </w:pPr>
      <w:r w:rsidRPr="00B662E4">
        <w:rPr>
          <w:sz w:val="20"/>
        </w:rPr>
        <w:t>“Minimum Distribution System Methodology,” May 2013.</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z w:val="20"/>
          <w:u w:val="single"/>
        </w:rPr>
      </w:pP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z w:val="20"/>
        </w:rPr>
      </w:pPr>
      <w:r w:rsidRPr="00B662E4">
        <w:rPr>
          <w:sz w:val="20"/>
          <w:u w:val="single"/>
        </w:rPr>
        <w:t>California Public Utility Commission Staff</w:t>
      </w:r>
      <w:r w:rsidRPr="00B662E4">
        <w:rPr>
          <w:sz w:val="20"/>
        </w:rPr>
        <w:t>:</w:t>
      </w:r>
    </w:p>
    <w:p w:rsidR="00603850" w:rsidRPr="00B662E4" w:rsidRDefault="00603850" w:rsidP="00F23CE2">
      <w:pPr>
        <w:autoSpaceDE w:val="0"/>
        <w:autoSpaceDN w:val="0"/>
        <w:adjustRightInd w:val="0"/>
        <w:ind w:left="-29"/>
        <w:rPr>
          <w:sz w:val="20"/>
        </w:rPr>
      </w:pPr>
      <w:r w:rsidRPr="00B662E4">
        <w:rPr>
          <w:sz w:val="20"/>
        </w:rPr>
        <w:t>“Minimum Distribution System Methodology,” October 2014.</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r w:rsidRPr="00B662E4">
        <w:rPr>
          <w:b/>
          <w:sz w:val="20"/>
        </w:rPr>
        <w:t>Penn State University, Adjunct Professor</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p>
    <w:p w:rsidR="00603850" w:rsidRPr="00B662E4"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B662E4">
        <w:rPr>
          <w:sz w:val="20"/>
        </w:rPr>
        <w:t>Sponsored Programs:</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B662E4">
        <w:rPr>
          <w:sz w:val="20"/>
        </w:rPr>
        <w:t>Electric Cost-of-Service and Rate Design Courses; 1989 - 2011</w:t>
      </w:r>
    </w:p>
    <w:p w:rsidR="00603850" w:rsidRPr="00B662E4" w:rsidRDefault="00603850" w:rsidP="001A72BB">
      <w:pPr>
        <w:numPr>
          <w:ilvl w:val="0"/>
          <w:numId w:val="5"/>
        </w:numPr>
        <w:tabs>
          <w:tab w:val="left" w:pos="360"/>
          <w:tab w:val="left" w:pos="2160"/>
          <w:tab w:val="left" w:pos="2880"/>
          <w:tab w:val="left" w:pos="3600"/>
          <w:tab w:val="left" w:pos="4320"/>
          <w:tab w:val="left" w:pos="5040"/>
          <w:tab w:val="left" w:pos="5760"/>
          <w:tab w:val="left" w:pos="6480"/>
          <w:tab w:val="left" w:pos="7200"/>
          <w:tab w:val="left" w:pos="7920"/>
          <w:tab w:val="left" w:pos="8640"/>
        </w:tabs>
        <w:ind w:left="360"/>
        <w:jc w:val="both"/>
        <w:rPr>
          <w:sz w:val="20"/>
        </w:rPr>
      </w:pPr>
      <w:r w:rsidRPr="00B662E4">
        <w:rPr>
          <w:sz w:val="20"/>
        </w:rPr>
        <w:t>Advanced School of Power Engineering, Pittsburgh, PA; (Annual 4 day course).</w:t>
      </w:r>
    </w:p>
    <w:p w:rsidR="00F23CE2" w:rsidRDefault="00F23CE2" w:rsidP="00F23CE2">
      <w:pPr>
        <w:tabs>
          <w:tab w:val="left" w:pos="36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sz w:val="20"/>
          <w:u w:val="single"/>
        </w:rPr>
      </w:pPr>
    </w:p>
    <w:p w:rsidR="00603850" w:rsidRPr="00B662E4" w:rsidRDefault="00603850" w:rsidP="00F23CE2">
      <w:pPr>
        <w:tabs>
          <w:tab w:val="left" w:pos="36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sz w:val="20"/>
        </w:rPr>
      </w:pPr>
      <w:r w:rsidRPr="00B662E4">
        <w:rPr>
          <w:sz w:val="20"/>
          <w:u w:val="single"/>
        </w:rPr>
        <w:t>In-House Courses</w:t>
      </w:r>
      <w:r w:rsidRPr="00B662E4">
        <w:rPr>
          <w:sz w:val="20"/>
        </w:rPr>
        <w:t>:</w:t>
      </w:r>
    </w:p>
    <w:p w:rsidR="00603850" w:rsidRPr="00B662E4" w:rsidRDefault="00603850" w:rsidP="001A72BB">
      <w:pPr>
        <w:numPr>
          <w:ilvl w:val="0"/>
          <w:numId w:val="5"/>
        </w:numPr>
        <w:tabs>
          <w:tab w:val="left" w:pos="360"/>
          <w:tab w:val="left" w:pos="2160"/>
          <w:tab w:val="left" w:pos="2880"/>
          <w:tab w:val="left" w:pos="3600"/>
          <w:tab w:val="left" w:pos="4320"/>
          <w:tab w:val="left" w:pos="5040"/>
          <w:tab w:val="left" w:pos="5760"/>
          <w:tab w:val="left" w:pos="6480"/>
          <w:tab w:val="left" w:pos="7200"/>
          <w:tab w:val="left" w:pos="7920"/>
          <w:tab w:val="left" w:pos="8640"/>
        </w:tabs>
        <w:ind w:left="360"/>
        <w:jc w:val="both"/>
        <w:rPr>
          <w:sz w:val="20"/>
        </w:rPr>
      </w:pPr>
      <w:r w:rsidRPr="00B662E4">
        <w:rPr>
          <w:sz w:val="20"/>
        </w:rPr>
        <w:t>Provincial Electric Authority, Bangkok, Thailand; February 2005 (2 week course).</w:t>
      </w:r>
    </w:p>
    <w:p w:rsidR="00603850" w:rsidRPr="00B662E4" w:rsidRDefault="00603850" w:rsidP="001A72BB">
      <w:pPr>
        <w:numPr>
          <w:ilvl w:val="0"/>
          <w:numId w:val="5"/>
        </w:numPr>
        <w:tabs>
          <w:tab w:val="left" w:pos="360"/>
          <w:tab w:val="left" w:pos="2160"/>
          <w:tab w:val="left" w:pos="2880"/>
          <w:tab w:val="left" w:pos="3600"/>
          <w:tab w:val="left" w:pos="4320"/>
          <w:tab w:val="left" w:pos="5040"/>
          <w:tab w:val="left" w:pos="5760"/>
          <w:tab w:val="left" w:pos="6480"/>
          <w:tab w:val="left" w:pos="7200"/>
          <w:tab w:val="left" w:pos="7920"/>
          <w:tab w:val="left" w:pos="8640"/>
        </w:tabs>
        <w:ind w:left="360"/>
        <w:jc w:val="both"/>
        <w:rPr>
          <w:sz w:val="20"/>
        </w:rPr>
      </w:pPr>
      <w:r w:rsidRPr="00B662E4">
        <w:rPr>
          <w:sz w:val="20"/>
        </w:rPr>
        <w:t>Panamanian Public Service Commission Staff, Panama City, Panama; April 2001 (1 week course).</w:t>
      </w:r>
    </w:p>
    <w:p w:rsidR="00603850" w:rsidRPr="00B662E4" w:rsidRDefault="00603850" w:rsidP="001A72BB">
      <w:pPr>
        <w:numPr>
          <w:ilvl w:val="0"/>
          <w:numId w:val="5"/>
        </w:numPr>
        <w:tabs>
          <w:tab w:val="left" w:pos="360"/>
          <w:tab w:val="left" w:pos="2160"/>
          <w:tab w:val="left" w:pos="2880"/>
          <w:tab w:val="left" w:pos="3600"/>
          <w:tab w:val="left" w:pos="4320"/>
          <w:tab w:val="left" w:pos="5040"/>
          <w:tab w:val="left" w:pos="5760"/>
          <w:tab w:val="left" w:pos="6480"/>
          <w:tab w:val="left" w:pos="7200"/>
          <w:tab w:val="left" w:pos="7920"/>
          <w:tab w:val="left" w:pos="8640"/>
        </w:tabs>
        <w:ind w:left="360"/>
        <w:jc w:val="both"/>
        <w:rPr>
          <w:sz w:val="20"/>
        </w:rPr>
      </w:pPr>
      <w:r w:rsidRPr="00B662E4">
        <w:rPr>
          <w:sz w:val="20"/>
        </w:rPr>
        <w:t>Power Finance Corporation/State Electric Boards, New Delhi, India; February - March 1996 (3 week course).</w:t>
      </w:r>
    </w:p>
    <w:p w:rsidR="00603850" w:rsidRPr="00B662E4" w:rsidRDefault="00603850" w:rsidP="001A72BB">
      <w:pPr>
        <w:numPr>
          <w:ilvl w:val="0"/>
          <w:numId w:val="5"/>
        </w:numPr>
        <w:tabs>
          <w:tab w:val="left" w:pos="360"/>
          <w:tab w:val="left" w:pos="2160"/>
          <w:tab w:val="left" w:pos="2880"/>
          <w:tab w:val="left" w:pos="3600"/>
          <w:tab w:val="left" w:pos="4320"/>
          <w:tab w:val="left" w:pos="5040"/>
          <w:tab w:val="left" w:pos="5760"/>
          <w:tab w:val="left" w:pos="6480"/>
          <w:tab w:val="left" w:pos="7200"/>
          <w:tab w:val="left" w:pos="7920"/>
          <w:tab w:val="left" w:pos="8640"/>
        </w:tabs>
        <w:ind w:left="360"/>
        <w:jc w:val="both"/>
        <w:rPr>
          <w:sz w:val="20"/>
        </w:rPr>
      </w:pPr>
      <w:r w:rsidRPr="00B662E4">
        <w:rPr>
          <w:sz w:val="20"/>
        </w:rPr>
        <w:t>Empressas Publicas de Medillin, Medillin, Colombia; November 1993 (1 week course).</w:t>
      </w:r>
    </w:p>
    <w:p w:rsidR="00603850" w:rsidRPr="00B662E4" w:rsidRDefault="00603850" w:rsidP="001A72BB">
      <w:pPr>
        <w:numPr>
          <w:ilvl w:val="0"/>
          <w:numId w:val="6"/>
        </w:numPr>
        <w:tabs>
          <w:tab w:val="clear" w:pos="720"/>
          <w:tab w:val="num" w:pos="330"/>
        </w:tabs>
        <w:autoSpaceDE w:val="0"/>
        <w:autoSpaceDN w:val="0"/>
        <w:adjustRightInd w:val="0"/>
        <w:ind w:left="331"/>
        <w:rPr>
          <w:sz w:val="20"/>
        </w:rPr>
      </w:pPr>
      <w:r w:rsidRPr="00B662E4">
        <w:rPr>
          <w:sz w:val="20"/>
        </w:rPr>
        <w:t>Jamaica Public Service Company, Kingston, Jamaica; June 1993 (2 week course).</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r w:rsidRPr="00B662E4">
        <w:rPr>
          <w:b/>
          <w:sz w:val="20"/>
        </w:rPr>
        <w:t>University of South Alabama, Instructor</w:t>
      </w:r>
    </w:p>
    <w:p w:rsidR="00603850" w:rsidRPr="00B662E4"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B662E4">
        <w:rPr>
          <w:sz w:val="20"/>
        </w:rPr>
        <w:t>Sponsored Programs:</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B662E4">
        <w:rPr>
          <w:sz w:val="20"/>
        </w:rPr>
        <w:t>Electric Cost-of-Service and Rate Design Courses; Mobile, AL, 1989 – 1996.</w:t>
      </w:r>
    </w:p>
    <w:p w:rsidR="00603850" w:rsidRPr="00B662E4" w:rsidRDefault="00603850" w:rsidP="001A72BB">
      <w:pPr>
        <w:numPr>
          <w:ilvl w:val="0"/>
          <w:numId w:val="5"/>
        </w:numPr>
        <w:tabs>
          <w:tab w:val="left" w:pos="360"/>
          <w:tab w:val="left" w:pos="2160"/>
          <w:tab w:val="left" w:pos="2880"/>
          <w:tab w:val="left" w:pos="3600"/>
          <w:tab w:val="left" w:pos="4320"/>
          <w:tab w:val="left" w:pos="5040"/>
          <w:tab w:val="left" w:pos="5760"/>
          <w:tab w:val="left" w:pos="6480"/>
          <w:tab w:val="left" w:pos="7200"/>
          <w:tab w:val="left" w:pos="7920"/>
          <w:tab w:val="left" w:pos="8640"/>
        </w:tabs>
        <w:ind w:left="360"/>
        <w:jc w:val="both"/>
        <w:rPr>
          <w:sz w:val="20"/>
        </w:rPr>
      </w:pPr>
      <w:r w:rsidRPr="00B662E4">
        <w:rPr>
          <w:sz w:val="20"/>
        </w:rPr>
        <w:t>Utility Rate Fundamentals Course (2½ day course).</w:t>
      </w:r>
    </w:p>
    <w:p w:rsidR="00603850" w:rsidRPr="00B662E4" w:rsidRDefault="00603850" w:rsidP="001A72BB">
      <w:pPr>
        <w:numPr>
          <w:ilvl w:val="0"/>
          <w:numId w:val="5"/>
        </w:numPr>
        <w:tabs>
          <w:tab w:val="left" w:pos="360"/>
          <w:tab w:val="left" w:pos="2160"/>
          <w:tab w:val="left" w:pos="2880"/>
          <w:tab w:val="left" w:pos="3600"/>
          <w:tab w:val="left" w:pos="4320"/>
          <w:tab w:val="left" w:pos="5040"/>
          <w:tab w:val="left" w:pos="5760"/>
          <w:tab w:val="left" w:pos="6480"/>
          <w:tab w:val="left" w:pos="7200"/>
          <w:tab w:val="left" w:pos="7920"/>
          <w:tab w:val="left" w:pos="8640"/>
        </w:tabs>
        <w:ind w:left="360"/>
        <w:jc w:val="both"/>
        <w:rPr>
          <w:sz w:val="20"/>
        </w:rPr>
      </w:pPr>
      <w:r w:rsidRPr="00B662E4">
        <w:rPr>
          <w:sz w:val="20"/>
        </w:rPr>
        <w:t>Strategic Utility Pricing Course (1½ day course).</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u w:val="single"/>
        </w:rPr>
      </w:pP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B662E4">
        <w:rPr>
          <w:sz w:val="20"/>
          <w:u w:val="single"/>
        </w:rPr>
        <w:t>In-House Courses</w:t>
      </w:r>
      <w:r w:rsidRPr="00B662E4">
        <w:rPr>
          <w:sz w:val="20"/>
        </w:rPr>
        <w:t>:</w:t>
      </w:r>
    </w:p>
    <w:p w:rsidR="00603850" w:rsidRPr="00B662E4" w:rsidRDefault="00603850" w:rsidP="001A72BB">
      <w:pPr>
        <w:numPr>
          <w:ilvl w:val="0"/>
          <w:numId w:val="6"/>
        </w:numPr>
        <w:tabs>
          <w:tab w:val="clear" w:pos="720"/>
          <w:tab w:val="num" w:pos="330"/>
        </w:tabs>
        <w:autoSpaceDE w:val="0"/>
        <w:autoSpaceDN w:val="0"/>
        <w:adjustRightInd w:val="0"/>
        <w:ind w:left="331"/>
        <w:rPr>
          <w:sz w:val="20"/>
        </w:rPr>
      </w:pPr>
      <w:r w:rsidRPr="00B662E4">
        <w:rPr>
          <w:sz w:val="20"/>
        </w:rPr>
        <w:t>Oklahoma Gas &amp; Electric Co., Public Service of Oklahoma, and Oklahoma Public Service Commission, Oklahoma City, OK; April 1990 (1 week course).</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b/>
          <w:sz w:val="20"/>
        </w:rPr>
      </w:pPr>
      <w:r w:rsidRPr="00B662E4">
        <w:rPr>
          <w:b/>
          <w:sz w:val="20"/>
        </w:rPr>
        <w:t>Electric League of Indiana, Inc., Instructor</w:t>
      </w:r>
    </w:p>
    <w:p w:rsidR="00F23CE2" w:rsidRDefault="00F23CE2"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p>
    <w:p w:rsidR="00603850" w:rsidRPr="00B662E4" w:rsidRDefault="00603850" w:rsidP="008C47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B662E4">
        <w:rPr>
          <w:sz w:val="20"/>
        </w:rPr>
        <w:t>Sponsored Programs:</w:t>
      </w:r>
    </w:p>
    <w:p w:rsidR="00603850" w:rsidRPr="00B662E4" w:rsidRDefault="00603850" w:rsidP="00F23C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rPr>
      </w:pPr>
      <w:r w:rsidRPr="00B662E4">
        <w:rPr>
          <w:sz w:val="20"/>
          <w:u w:val="single"/>
        </w:rPr>
        <w:t>The Electrification Council Series</w:t>
      </w:r>
      <w:r w:rsidRPr="00B662E4">
        <w:rPr>
          <w:sz w:val="20"/>
        </w:rPr>
        <w:t>:</w:t>
      </w:r>
    </w:p>
    <w:p w:rsidR="00603850" w:rsidRPr="00B662E4" w:rsidRDefault="00603850" w:rsidP="001A72BB">
      <w:pPr>
        <w:numPr>
          <w:ilvl w:val="0"/>
          <w:numId w:val="6"/>
        </w:numPr>
        <w:tabs>
          <w:tab w:val="clear" w:pos="720"/>
          <w:tab w:val="num" w:pos="330"/>
        </w:tabs>
        <w:autoSpaceDE w:val="0"/>
        <w:autoSpaceDN w:val="0"/>
        <w:adjustRightInd w:val="0"/>
        <w:ind w:left="331"/>
        <w:rPr>
          <w:sz w:val="20"/>
        </w:rPr>
      </w:pPr>
      <w:r w:rsidRPr="00B662E4">
        <w:rPr>
          <w:sz w:val="20"/>
        </w:rPr>
        <w:t>“Energy Management Action Course,” Indianapolis, IN; April - May 1979 (6 session course).</w:t>
      </w:r>
    </w:p>
    <w:p w:rsidR="00603850" w:rsidRPr="00B662E4" w:rsidRDefault="00603850" w:rsidP="001A72BB">
      <w:pPr>
        <w:numPr>
          <w:ilvl w:val="0"/>
          <w:numId w:val="6"/>
        </w:numPr>
        <w:tabs>
          <w:tab w:val="clear" w:pos="720"/>
          <w:tab w:val="num" w:pos="330"/>
        </w:tabs>
        <w:autoSpaceDE w:val="0"/>
        <w:autoSpaceDN w:val="0"/>
        <w:adjustRightInd w:val="0"/>
        <w:ind w:left="331"/>
        <w:rPr>
          <w:sz w:val="20"/>
        </w:rPr>
      </w:pPr>
      <w:r w:rsidRPr="00B662E4">
        <w:rPr>
          <w:sz w:val="20"/>
        </w:rPr>
        <w:t>“Electric Power Distribution for Industrial Plants and Commercial Buildings Course,” Clarksville, Indianapolis, and Wabash IN; September - November 1978 (10 session course).</w:t>
      </w:r>
    </w:p>
    <w:p w:rsidR="00F23CE2" w:rsidRDefault="00F23CE2" w:rsidP="00F23CE2">
      <w:pPr>
        <w:contextualSpacing/>
        <w:jc w:val="both"/>
        <w:rPr>
          <w:b/>
          <w:sz w:val="20"/>
        </w:rPr>
      </w:pPr>
    </w:p>
    <w:p w:rsidR="00603850" w:rsidRPr="00B662E4" w:rsidRDefault="00603850" w:rsidP="00F23CE2">
      <w:pPr>
        <w:contextualSpacing/>
        <w:jc w:val="both"/>
        <w:rPr>
          <w:b/>
          <w:sz w:val="20"/>
        </w:rPr>
      </w:pPr>
      <w:r w:rsidRPr="00B662E4">
        <w:rPr>
          <w:b/>
          <w:sz w:val="20"/>
        </w:rPr>
        <w:t>Professional Development Seminars, Inc., Instructor</w:t>
      </w:r>
    </w:p>
    <w:p w:rsidR="00603850" w:rsidRDefault="00603850" w:rsidP="00F23CE2">
      <w:pPr>
        <w:contextualSpacing/>
        <w:jc w:val="both"/>
        <w:rPr>
          <w:sz w:val="20"/>
        </w:rPr>
      </w:pPr>
      <w:r w:rsidRPr="00B662E4">
        <w:rPr>
          <w:sz w:val="20"/>
        </w:rPr>
        <w:t>“Fossil-Fired Power Plant Technologies,” New Orleans, LA, September 2015 and Birmingham, AL, October 2015.</w:t>
      </w:r>
    </w:p>
    <w:p w:rsidR="00042CB7" w:rsidRPr="00394180" w:rsidRDefault="00042CB7" w:rsidP="008C47ED">
      <w:pPr>
        <w:ind w:left="720" w:hanging="720"/>
        <w:rPr>
          <w:sz w:val="32"/>
        </w:rPr>
      </w:pPr>
    </w:p>
    <w:sectPr w:rsidR="00042CB7" w:rsidRPr="00394180" w:rsidSect="008C47ED">
      <w:type w:val="continuous"/>
      <w:pgSz w:w="12240" w:h="15840" w:code="1"/>
      <w:pgMar w:top="1440" w:right="1325"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555F" w:rsidRDefault="0074555F">
      <w:r>
        <w:separator/>
      </w:r>
    </w:p>
  </w:endnote>
  <w:endnote w:type="continuationSeparator" w:id="0">
    <w:p w:rsidR="0074555F" w:rsidRDefault="0074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Avenir LT Std 65 Medium">
    <w:altName w:val="Avenir LT Std 65 Medium"/>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555F" w:rsidRDefault="0074555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74555F" w:rsidRDefault="0074555F">
    <w:pPr>
      <w:pStyle w:val="Footer"/>
    </w:pPr>
  </w:p>
  <w:p w:rsidR="0074555F" w:rsidRDefault="007455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555F" w:rsidRDefault="0074555F">
    <w:pPr>
      <w:pStyle w:val="Footer"/>
      <w:pBdr>
        <w:bottom w:val="single" w:sz="12" w:space="1" w:color="auto"/>
      </w:pBdr>
      <w:jc w:val="center"/>
    </w:pPr>
  </w:p>
  <w:p w:rsidR="0074555F" w:rsidRPr="00EF583E" w:rsidRDefault="0074555F">
    <w:pPr>
      <w:pStyle w:val="Footer"/>
      <w:jc w:val="center"/>
      <w:rPr>
        <w:sz w:val="20"/>
        <w:szCs w:val="22"/>
      </w:rPr>
    </w:pPr>
  </w:p>
  <w:p w:rsidR="0074555F" w:rsidRPr="00E1083D" w:rsidRDefault="0074555F" w:rsidP="00F8377A">
    <w:pPr>
      <w:pStyle w:val="Footer"/>
      <w:jc w:val="center"/>
      <w:rPr>
        <w:sz w:val="20"/>
      </w:rPr>
    </w:pPr>
    <w:r w:rsidRPr="00E1083D">
      <w:rPr>
        <w:sz w:val="20"/>
      </w:rPr>
      <w:t>Direct Testimony of Lawrence J. Vogt</w:t>
    </w:r>
  </w:p>
  <w:p w:rsidR="0074555F" w:rsidRPr="00E1083D" w:rsidRDefault="0074555F" w:rsidP="00F8377A">
    <w:pPr>
      <w:pStyle w:val="Footer"/>
      <w:jc w:val="center"/>
      <w:rPr>
        <w:sz w:val="20"/>
      </w:rPr>
    </w:pPr>
    <w:r w:rsidRPr="00E1083D">
      <w:rPr>
        <w:sz w:val="20"/>
      </w:rPr>
      <w:t>On Behalf of Georgia Power Company</w:t>
    </w:r>
  </w:p>
  <w:p w:rsidR="0074555F" w:rsidRPr="00E1083D" w:rsidRDefault="0074555F" w:rsidP="00F8377A">
    <w:pPr>
      <w:pStyle w:val="Footer"/>
      <w:jc w:val="center"/>
      <w:rPr>
        <w:sz w:val="20"/>
      </w:rPr>
    </w:pPr>
    <w:r w:rsidRPr="00E1083D">
      <w:rPr>
        <w:sz w:val="20"/>
      </w:rPr>
      <w:t>Docket No. 42516</w:t>
    </w:r>
  </w:p>
  <w:p w:rsidR="0074555F" w:rsidRPr="00E1083D" w:rsidRDefault="0074555F" w:rsidP="00F8377A">
    <w:pPr>
      <w:pStyle w:val="Footer"/>
      <w:jc w:val="center"/>
      <w:rPr>
        <w:sz w:val="20"/>
      </w:rPr>
    </w:pPr>
    <w:r w:rsidRPr="00E1083D">
      <w:rPr>
        <w:sz w:val="20"/>
      </w:rPr>
      <w:t xml:space="preserve">Page </w:t>
    </w:r>
    <w:r w:rsidRPr="00E1083D">
      <w:rPr>
        <w:bCs/>
        <w:sz w:val="20"/>
      </w:rPr>
      <w:fldChar w:fldCharType="begin"/>
    </w:r>
    <w:r w:rsidRPr="00E1083D">
      <w:rPr>
        <w:bCs/>
        <w:sz w:val="20"/>
      </w:rPr>
      <w:instrText xml:space="preserve"> PAGE </w:instrText>
    </w:r>
    <w:r w:rsidRPr="00E1083D">
      <w:rPr>
        <w:bCs/>
        <w:sz w:val="20"/>
      </w:rPr>
      <w:fldChar w:fldCharType="separate"/>
    </w:r>
    <w:r w:rsidRPr="00E1083D">
      <w:rPr>
        <w:bCs/>
        <w:sz w:val="20"/>
      </w:rPr>
      <w:t>33</w:t>
    </w:r>
    <w:r w:rsidRPr="00E1083D">
      <w:rPr>
        <w:bCs/>
        <w:sz w:val="20"/>
      </w:rPr>
      <w:fldChar w:fldCharType="end"/>
    </w:r>
    <w:r w:rsidRPr="00E1083D">
      <w:rPr>
        <w:sz w:val="20"/>
      </w:rPr>
      <w:t xml:space="preserve"> of </w:t>
    </w:r>
    <w:r w:rsidR="00981526">
      <w:rPr>
        <w:sz w:val="20"/>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D95" w:rsidRDefault="00F77D95">
    <w:pPr>
      <w:pStyle w:val="Footer"/>
      <w:pBdr>
        <w:bottom w:val="single" w:sz="12" w:space="1" w:color="auto"/>
      </w:pBdr>
      <w:jc w:val="center"/>
    </w:pPr>
  </w:p>
  <w:p w:rsidR="00A676DB" w:rsidRDefault="00A676DB" w:rsidP="00F8377A">
    <w:pPr>
      <w:pStyle w:val="Footer"/>
      <w:jc w:val="center"/>
      <w:rPr>
        <w:sz w:val="20"/>
      </w:rPr>
    </w:pPr>
    <w:r>
      <w:rPr>
        <w:sz w:val="20"/>
        <w:szCs w:val="22"/>
      </w:rPr>
      <w:t>Appendix - 1</w:t>
    </w:r>
  </w:p>
  <w:p w:rsidR="00F77D95" w:rsidRPr="00E1083D" w:rsidRDefault="00F77D95" w:rsidP="00F8377A">
    <w:pPr>
      <w:pStyle w:val="Footer"/>
      <w:jc w:val="center"/>
      <w:rPr>
        <w:sz w:val="20"/>
      </w:rPr>
    </w:pPr>
    <w:r w:rsidRPr="00E1083D">
      <w:rPr>
        <w:sz w:val="20"/>
      </w:rPr>
      <w:t xml:space="preserve">Page </w:t>
    </w:r>
    <w:r w:rsidRPr="00E1083D">
      <w:rPr>
        <w:bCs/>
        <w:sz w:val="20"/>
      </w:rPr>
      <w:fldChar w:fldCharType="begin"/>
    </w:r>
    <w:r w:rsidRPr="00E1083D">
      <w:rPr>
        <w:bCs/>
        <w:sz w:val="20"/>
      </w:rPr>
      <w:instrText xml:space="preserve"> PAGE </w:instrText>
    </w:r>
    <w:r w:rsidRPr="00E1083D">
      <w:rPr>
        <w:bCs/>
        <w:sz w:val="20"/>
      </w:rPr>
      <w:fldChar w:fldCharType="separate"/>
    </w:r>
    <w:r w:rsidRPr="00E1083D">
      <w:rPr>
        <w:bCs/>
        <w:sz w:val="20"/>
      </w:rPr>
      <w:t>33</w:t>
    </w:r>
    <w:r w:rsidRPr="00E1083D">
      <w:rPr>
        <w:bCs/>
        <w:sz w:val="20"/>
      </w:rPr>
      <w:fldChar w:fldCharType="end"/>
    </w:r>
    <w:r w:rsidRPr="00E1083D">
      <w:rPr>
        <w:sz w:val="20"/>
      </w:rPr>
      <w:t xml:space="preserve"> of </w:t>
    </w:r>
    <w:r w:rsidR="00A676DB">
      <w:rPr>
        <w:bCs/>
        <w:sz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555F" w:rsidRDefault="0074555F">
      <w:r>
        <w:separator/>
      </w:r>
    </w:p>
  </w:footnote>
  <w:footnote w:type="continuationSeparator" w:id="0">
    <w:p w:rsidR="0074555F" w:rsidRDefault="007455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70BC7"/>
    <w:multiLevelType w:val="hybridMultilevel"/>
    <w:tmpl w:val="1EEE129E"/>
    <w:lvl w:ilvl="0" w:tplc="DF4AA8B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513140"/>
    <w:multiLevelType w:val="hybridMultilevel"/>
    <w:tmpl w:val="E782FA66"/>
    <w:lvl w:ilvl="0" w:tplc="57360674">
      <w:start w:val="1"/>
      <w:numFmt w:val="none"/>
      <w:pStyle w:val="Answersub"/>
      <w:lvlText w:val=""/>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1C786F09"/>
    <w:multiLevelType w:val="hybridMultilevel"/>
    <w:tmpl w:val="DEA640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B259D7"/>
    <w:multiLevelType w:val="hybridMultilevel"/>
    <w:tmpl w:val="53BE2C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7A2CF5"/>
    <w:multiLevelType w:val="hybridMultilevel"/>
    <w:tmpl w:val="E8D61358"/>
    <w:lvl w:ilvl="0" w:tplc="7D78000E">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33340609"/>
    <w:multiLevelType w:val="hybridMultilevel"/>
    <w:tmpl w:val="1DA495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3A599A"/>
    <w:multiLevelType w:val="hybridMultilevel"/>
    <w:tmpl w:val="56BAAC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93308"/>
    <w:multiLevelType w:val="hybridMultilevel"/>
    <w:tmpl w:val="DDD61F4C"/>
    <w:lvl w:ilvl="0" w:tplc="DF4AA8B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F62D6"/>
    <w:multiLevelType w:val="hybridMultilevel"/>
    <w:tmpl w:val="32983724"/>
    <w:lvl w:ilvl="0" w:tplc="ABAEE418">
      <w:start w:val="1"/>
      <w:numFmt w:val="none"/>
      <w:pStyle w:val="Answer"/>
      <w:lvlText w:val="%1A."/>
      <w:lvlJc w:val="left"/>
      <w:pPr>
        <w:tabs>
          <w:tab w:val="num" w:pos="3870"/>
        </w:tabs>
        <w:ind w:left="3870" w:hanging="720"/>
      </w:pPr>
      <w:rPr>
        <w:rFonts w:cs="Times New Roman" w:hint="default"/>
        <w:b w:val="0"/>
      </w:rPr>
    </w:lvl>
    <w:lvl w:ilvl="1" w:tplc="07FCA054">
      <w:start w:val="17"/>
      <w:numFmt w:val="upp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3F2D5C6F"/>
    <w:multiLevelType w:val="hybridMultilevel"/>
    <w:tmpl w:val="B11AAD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383702"/>
    <w:multiLevelType w:val="hybridMultilevel"/>
    <w:tmpl w:val="5C3E1B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CF41EB"/>
    <w:multiLevelType w:val="hybridMultilevel"/>
    <w:tmpl w:val="28CA5244"/>
    <w:lvl w:ilvl="0" w:tplc="04090015">
      <w:start w:val="1"/>
      <w:numFmt w:val="upperLetter"/>
      <w:lvlText w:val="%1."/>
      <w:lvlJc w:val="left"/>
      <w:pPr>
        <w:ind w:left="720" w:hanging="360"/>
      </w:pPr>
      <w:rPr>
        <w:rFonts w:ascii="Times New Roman" w:hAnsi="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DD103E"/>
    <w:multiLevelType w:val="hybridMultilevel"/>
    <w:tmpl w:val="EC0E7158"/>
    <w:lvl w:ilvl="0" w:tplc="04090005">
      <w:start w:val="1"/>
      <w:numFmt w:val="bullet"/>
      <w:lvlText w:val=""/>
      <w:lvlJc w:val="left"/>
      <w:pPr>
        <w:ind w:left="720" w:hanging="360"/>
      </w:pPr>
      <w:rPr>
        <w:rFonts w:ascii="Wingdings" w:hAnsi="Wingdings" w:hint="default"/>
      </w:rPr>
    </w:lvl>
    <w:lvl w:ilvl="1" w:tplc="DF4AA8B6">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CC7223"/>
    <w:multiLevelType w:val="hybridMultilevel"/>
    <w:tmpl w:val="F4CCE8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135529"/>
    <w:multiLevelType w:val="hybridMultilevel"/>
    <w:tmpl w:val="E5FCB35E"/>
    <w:lvl w:ilvl="0" w:tplc="20C0DE4E">
      <w:start w:val="1"/>
      <w:numFmt w:val="none"/>
      <w:pStyle w:val="Question"/>
      <w:lvlText w:val="Q."/>
      <w:lvlJc w:val="left"/>
      <w:pPr>
        <w:tabs>
          <w:tab w:val="num" w:pos="360"/>
        </w:tabs>
        <w:ind w:left="720" w:hanging="720"/>
      </w:pPr>
      <w:rPr>
        <w:rFonts w:cs="Times New Roman" w:hint="default"/>
        <w:b/>
        <w:i w:val="0"/>
        <w:caps/>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7D3F2D73"/>
    <w:multiLevelType w:val="hybridMultilevel"/>
    <w:tmpl w:val="2F38BDA8"/>
    <w:lvl w:ilvl="0" w:tplc="DF4AA8B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4"/>
  </w:num>
  <w:num w:numId="4">
    <w:abstractNumId w:val="1"/>
  </w:num>
  <w:num w:numId="5">
    <w:abstractNumId w:val="12"/>
  </w:num>
  <w:num w:numId="6">
    <w:abstractNumId w:val="7"/>
  </w:num>
  <w:num w:numId="7">
    <w:abstractNumId w:val="15"/>
  </w:num>
  <w:num w:numId="8">
    <w:abstractNumId w:val="5"/>
  </w:num>
  <w:num w:numId="9">
    <w:abstractNumId w:val="13"/>
  </w:num>
  <w:num w:numId="10">
    <w:abstractNumId w:val="6"/>
  </w:num>
  <w:num w:numId="11">
    <w:abstractNumId w:val="2"/>
  </w:num>
  <w:num w:numId="12">
    <w:abstractNumId w:val="0"/>
  </w:num>
  <w:num w:numId="13">
    <w:abstractNumId w:val="10"/>
  </w:num>
  <w:num w:numId="14">
    <w:abstractNumId w:val="3"/>
  </w:num>
  <w:num w:numId="15">
    <w:abstractNumId w:val="8"/>
    <w:lvlOverride w:ilvl="0">
      <w:startOverride w:val="1"/>
    </w:lvlOverride>
    <w:lvlOverride w:ilvl="1">
      <w:startOverride w:val="1"/>
    </w:lvlOverride>
  </w:num>
  <w:num w:numId="16">
    <w:abstractNumId w:val="11"/>
  </w:num>
  <w:num w:numId="17">
    <w:abstractNumId w:val="9"/>
  </w:num>
  <w:num w:numId="18">
    <w:abstractNumId w:val="8"/>
    <w:lvlOverride w:ilvl="0">
      <w:startOverride w:val="1"/>
    </w:lvlOverride>
    <w:lvlOverride w:ilvl="1">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D1C"/>
    <w:rsid w:val="000000F2"/>
    <w:rsid w:val="00000DA2"/>
    <w:rsid w:val="00006300"/>
    <w:rsid w:val="00015DDE"/>
    <w:rsid w:val="000220B5"/>
    <w:rsid w:val="00026D34"/>
    <w:rsid w:val="0002783A"/>
    <w:rsid w:val="000305F6"/>
    <w:rsid w:val="00030D6D"/>
    <w:rsid w:val="00033C12"/>
    <w:rsid w:val="00033F6F"/>
    <w:rsid w:val="0003431D"/>
    <w:rsid w:val="00037531"/>
    <w:rsid w:val="00037FB4"/>
    <w:rsid w:val="0004005E"/>
    <w:rsid w:val="00040343"/>
    <w:rsid w:val="00042CB7"/>
    <w:rsid w:val="000474CD"/>
    <w:rsid w:val="00047891"/>
    <w:rsid w:val="00047F0A"/>
    <w:rsid w:val="000503D6"/>
    <w:rsid w:val="00050AB3"/>
    <w:rsid w:val="00050C48"/>
    <w:rsid w:val="00051A64"/>
    <w:rsid w:val="00052AB8"/>
    <w:rsid w:val="00052B63"/>
    <w:rsid w:val="00054713"/>
    <w:rsid w:val="00061D39"/>
    <w:rsid w:val="00070FDB"/>
    <w:rsid w:val="00071496"/>
    <w:rsid w:val="0007191D"/>
    <w:rsid w:val="00072ED0"/>
    <w:rsid w:val="00073798"/>
    <w:rsid w:val="00075177"/>
    <w:rsid w:val="00076E7E"/>
    <w:rsid w:val="0007759D"/>
    <w:rsid w:val="00082AB1"/>
    <w:rsid w:val="00082AC9"/>
    <w:rsid w:val="0008480F"/>
    <w:rsid w:val="00085689"/>
    <w:rsid w:val="00090720"/>
    <w:rsid w:val="00090DEE"/>
    <w:rsid w:val="00091570"/>
    <w:rsid w:val="00092D56"/>
    <w:rsid w:val="00095ABA"/>
    <w:rsid w:val="00096101"/>
    <w:rsid w:val="000A180A"/>
    <w:rsid w:val="000A3CA5"/>
    <w:rsid w:val="000B1821"/>
    <w:rsid w:val="000B3DFF"/>
    <w:rsid w:val="000B43A8"/>
    <w:rsid w:val="000B4E24"/>
    <w:rsid w:val="000B72E3"/>
    <w:rsid w:val="000B7E64"/>
    <w:rsid w:val="000C1C74"/>
    <w:rsid w:val="000C2FC8"/>
    <w:rsid w:val="000C4884"/>
    <w:rsid w:val="000C57B8"/>
    <w:rsid w:val="000C6610"/>
    <w:rsid w:val="000F12FE"/>
    <w:rsid w:val="000F499F"/>
    <w:rsid w:val="00100586"/>
    <w:rsid w:val="00100ADD"/>
    <w:rsid w:val="00104FDA"/>
    <w:rsid w:val="0010757B"/>
    <w:rsid w:val="001120E5"/>
    <w:rsid w:val="0011362F"/>
    <w:rsid w:val="001151D9"/>
    <w:rsid w:val="0011641D"/>
    <w:rsid w:val="00116B98"/>
    <w:rsid w:val="00120307"/>
    <w:rsid w:val="00123EA8"/>
    <w:rsid w:val="001246C3"/>
    <w:rsid w:val="001259B7"/>
    <w:rsid w:val="00125EBF"/>
    <w:rsid w:val="001324A4"/>
    <w:rsid w:val="00134F0D"/>
    <w:rsid w:val="00137233"/>
    <w:rsid w:val="001412D8"/>
    <w:rsid w:val="0014145D"/>
    <w:rsid w:val="0014250F"/>
    <w:rsid w:val="0016000F"/>
    <w:rsid w:val="001606AE"/>
    <w:rsid w:val="00163A49"/>
    <w:rsid w:val="0016726E"/>
    <w:rsid w:val="001752C9"/>
    <w:rsid w:val="00175BA5"/>
    <w:rsid w:val="00176EAF"/>
    <w:rsid w:val="00183245"/>
    <w:rsid w:val="00186EAC"/>
    <w:rsid w:val="00187A84"/>
    <w:rsid w:val="00192A73"/>
    <w:rsid w:val="00192EC1"/>
    <w:rsid w:val="0019632A"/>
    <w:rsid w:val="00197B29"/>
    <w:rsid w:val="001A1B43"/>
    <w:rsid w:val="001A302F"/>
    <w:rsid w:val="001A425B"/>
    <w:rsid w:val="001A45FF"/>
    <w:rsid w:val="001A47BC"/>
    <w:rsid w:val="001A72BB"/>
    <w:rsid w:val="001A7BA7"/>
    <w:rsid w:val="001B1FB7"/>
    <w:rsid w:val="001C0C1C"/>
    <w:rsid w:val="001C1030"/>
    <w:rsid w:val="001C3488"/>
    <w:rsid w:val="001C5B2F"/>
    <w:rsid w:val="001D0B1B"/>
    <w:rsid w:val="001D0B7F"/>
    <w:rsid w:val="001D0F06"/>
    <w:rsid w:val="001D2CCA"/>
    <w:rsid w:val="001E0970"/>
    <w:rsid w:val="001E1DD8"/>
    <w:rsid w:val="001E3DAB"/>
    <w:rsid w:val="001E4FA4"/>
    <w:rsid w:val="001E6217"/>
    <w:rsid w:val="001E7673"/>
    <w:rsid w:val="001F06C1"/>
    <w:rsid w:val="001F08E1"/>
    <w:rsid w:val="001F1855"/>
    <w:rsid w:val="001F3F5A"/>
    <w:rsid w:val="001F574D"/>
    <w:rsid w:val="00200148"/>
    <w:rsid w:val="002025D3"/>
    <w:rsid w:val="00205C98"/>
    <w:rsid w:val="00207D3F"/>
    <w:rsid w:val="002107C8"/>
    <w:rsid w:val="00212FD5"/>
    <w:rsid w:val="00216623"/>
    <w:rsid w:val="00217713"/>
    <w:rsid w:val="00222BCD"/>
    <w:rsid w:val="002237A5"/>
    <w:rsid w:val="002272C3"/>
    <w:rsid w:val="002275E7"/>
    <w:rsid w:val="00230CF4"/>
    <w:rsid w:val="00231C32"/>
    <w:rsid w:val="002369F6"/>
    <w:rsid w:val="00236B83"/>
    <w:rsid w:val="00237F16"/>
    <w:rsid w:val="00240542"/>
    <w:rsid w:val="00243D2E"/>
    <w:rsid w:val="002445F6"/>
    <w:rsid w:val="0025149A"/>
    <w:rsid w:val="00251586"/>
    <w:rsid w:val="0025736F"/>
    <w:rsid w:val="002577D9"/>
    <w:rsid w:val="00260BE4"/>
    <w:rsid w:val="00264111"/>
    <w:rsid w:val="0026525B"/>
    <w:rsid w:val="00267161"/>
    <w:rsid w:val="0028020C"/>
    <w:rsid w:val="00282D04"/>
    <w:rsid w:val="00283279"/>
    <w:rsid w:val="0028626E"/>
    <w:rsid w:val="00286983"/>
    <w:rsid w:val="00287042"/>
    <w:rsid w:val="002871D2"/>
    <w:rsid w:val="00290D31"/>
    <w:rsid w:val="00295C7F"/>
    <w:rsid w:val="002A0A2A"/>
    <w:rsid w:val="002A3281"/>
    <w:rsid w:val="002A4AF5"/>
    <w:rsid w:val="002A5237"/>
    <w:rsid w:val="002A71C3"/>
    <w:rsid w:val="002A788E"/>
    <w:rsid w:val="002A7A3D"/>
    <w:rsid w:val="002B31C2"/>
    <w:rsid w:val="002B6169"/>
    <w:rsid w:val="002C1803"/>
    <w:rsid w:val="002C2843"/>
    <w:rsid w:val="002D0402"/>
    <w:rsid w:val="002D0E59"/>
    <w:rsid w:val="002D110F"/>
    <w:rsid w:val="002D177A"/>
    <w:rsid w:val="002D1EC5"/>
    <w:rsid w:val="002D3070"/>
    <w:rsid w:val="002D417C"/>
    <w:rsid w:val="002D493A"/>
    <w:rsid w:val="002D4976"/>
    <w:rsid w:val="002D6339"/>
    <w:rsid w:val="002D7D55"/>
    <w:rsid w:val="002E0860"/>
    <w:rsid w:val="002E2373"/>
    <w:rsid w:val="002E37CC"/>
    <w:rsid w:val="002F1153"/>
    <w:rsid w:val="002F388D"/>
    <w:rsid w:val="002F74A9"/>
    <w:rsid w:val="002F7C27"/>
    <w:rsid w:val="002F7F51"/>
    <w:rsid w:val="00304AD9"/>
    <w:rsid w:val="00305117"/>
    <w:rsid w:val="003059EB"/>
    <w:rsid w:val="0030676C"/>
    <w:rsid w:val="00310E4E"/>
    <w:rsid w:val="00313282"/>
    <w:rsid w:val="003134B8"/>
    <w:rsid w:val="00321EA3"/>
    <w:rsid w:val="00322A6B"/>
    <w:rsid w:val="003255C7"/>
    <w:rsid w:val="003274D8"/>
    <w:rsid w:val="00333A83"/>
    <w:rsid w:val="00335B36"/>
    <w:rsid w:val="00337924"/>
    <w:rsid w:val="00341F1B"/>
    <w:rsid w:val="003428C5"/>
    <w:rsid w:val="00346BF7"/>
    <w:rsid w:val="00351E14"/>
    <w:rsid w:val="00352841"/>
    <w:rsid w:val="00352BB6"/>
    <w:rsid w:val="0035309C"/>
    <w:rsid w:val="00354167"/>
    <w:rsid w:val="00354D1C"/>
    <w:rsid w:val="0035526D"/>
    <w:rsid w:val="00355C4A"/>
    <w:rsid w:val="0036165D"/>
    <w:rsid w:val="003666BE"/>
    <w:rsid w:val="0037036B"/>
    <w:rsid w:val="00370F15"/>
    <w:rsid w:val="00376CE3"/>
    <w:rsid w:val="00380031"/>
    <w:rsid w:val="00380A90"/>
    <w:rsid w:val="00380CDA"/>
    <w:rsid w:val="00381C2C"/>
    <w:rsid w:val="00385C14"/>
    <w:rsid w:val="00386A41"/>
    <w:rsid w:val="00390366"/>
    <w:rsid w:val="0039334D"/>
    <w:rsid w:val="00394180"/>
    <w:rsid w:val="00394D89"/>
    <w:rsid w:val="003962DF"/>
    <w:rsid w:val="00396DDD"/>
    <w:rsid w:val="003A1A96"/>
    <w:rsid w:val="003A31CB"/>
    <w:rsid w:val="003A67DC"/>
    <w:rsid w:val="003B51B1"/>
    <w:rsid w:val="003B6108"/>
    <w:rsid w:val="003B670E"/>
    <w:rsid w:val="003C0808"/>
    <w:rsid w:val="003C2B40"/>
    <w:rsid w:val="003C7CA4"/>
    <w:rsid w:val="003D0A21"/>
    <w:rsid w:val="003D5AC8"/>
    <w:rsid w:val="003E50D7"/>
    <w:rsid w:val="003E6AEE"/>
    <w:rsid w:val="003F0199"/>
    <w:rsid w:val="003F043E"/>
    <w:rsid w:val="003F17B0"/>
    <w:rsid w:val="003F3F2F"/>
    <w:rsid w:val="003F4336"/>
    <w:rsid w:val="003F55BE"/>
    <w:rsid w:val="004017C9"/>
    <w:rsid w:val="004114E1"/>
    <w:rsid w:val="00411971"/>
    <w:rsid w:val="004122F4"/>
    <w:rsid w:val="00420732"/>
    <w:rsid w:val="004222A5"/>
    <w:rsid w:val="00423D87"/>
    <w:rsid w:val="00424E14"/>
    <w:rsid w:val="00425654"/>
    <w:rsid w:val="004264C9"/>
    <w:rsid w:val="00430166"/>
    <w:rsid w:val="00430F9A"/>
    <w:rsid w:val="00441132"/>
    <w:rsid w:val="00444293"/>
    <w:rsid w:val="00444C2B"/>
    <w:rsid w:val="00446FDC"/>
    <w:rsid w:val="0044727E"/>
    <w:rsid w:val="00456CD3"/>
    <w:rsid w:val="0046175F"/>
    <w:rsid w:val="00465786"/>
    <w:rsid w:val="00465CA2"/>
    <w:rsid w:val="004673B2"/>
    <w:rsid w:val="00472C6A"/>
    <w:rsid w:val="0047344E"/>
    <w:rsid w:val="0047656C"/>
    <w:rsid w:val="00476BB4"/>
    <w:rsid w:val="00477920"/>
    <w:rsid w:val="00481975"/>
    <w:rsid w:val="00487B8F"/>
    <w:rsid w:val="0049012F"/>
    <w:rsid w:val="00492587"/>
    <w:rsid w:val="004938DA"/>
    <w:rsid w:val="00496923"/>
    <w:rsid w:val="00497BA3"/>
    <w:rsid w:val="004A53D8"/>
    <w:rsid w:val="004A59B3"/>
    <w:rsid w:val="004A7F60"/>
    <w:rsid w:val="004B0D92"/>
    <w:rsid w:val="004B5E49"/>
    <w:rsid w:val="004B5FE4"/>
    <w:rsid w:val="004B6277"/>
    <w:rsid w:val="004B7587"/>
    <w:rsid w:val="004C0F1A"/>
    <w:rsid w:val="004C19CF"/>
    <w:rsid w:val="004C6386"/>
    <w:rsid w:val="004D244C"/>
    <w:rsid w:val="004D46A8"/>
    <w:rsid w:val="004D5FDF"/>
    <w:rsid w:val="004D73F3"/>
    <w:rsid w:val="004D74BF"/>
    <w:rsid w:val="004E3B27"/>
    <w:rsid w:val="004E493F"/>
    <w:rsid w:val="004F1F5F"/>
    <w:rsid w:val="004F5F04"/>
    <w:rsid w:val="00500CD0"/>
    <w:rsid w:val="00502CBF"/>
    <w:rsid w:val="0051102E"/>
    <w:rsid w:val="00511A00"/>
    <w:rsid w:val="00513F54"/>
    <w:rsid w:val="00515ED6"/>
    <w:rsid w:val="0051661B"/>
    <w:rsid w:val="00522297"/>
    <w:rsid w:val="00525C55"/>
    <w:rsid w:val="00527962"/>
    <w:rsid w:val="00532F18"/>
    <w:rsid w:val="00533BAB"/>
    <w:rsid w:val="00542DB8"/>
    <w:rsid w:val="00553733"/>
    <w:rsid w:val="00554177"/>
    <w:rsid w:val="00562126"/>
    <w:rsid w:val="00563BD8"/>
    <w:rsid w:val="005661AF"/>
    <w:rsid w:val="005666A0"/>
    <w:rsid w:val="00567325"/>
    <w:rsid w:val="00571557"/>
    <w:rsid w:val="00573BC9"/>
    <w:rsid w:val="00574904"/>
    <w:rsid w:val="0057712F"/>
    <w:rsid w:val="00584F94"/>
    <w:rsid w:val="00586A02"/>
    <w:rsid w:val="00586C3C"/>
    <w:rsid w:val="00587AC4"/>
    <w:rsid w:val="005922F8"/>
    <w:rsid w:val="005928EA"/>
    <w:rsid w:val="005A274A"/>
    <w:rsid w:val="005A3D4F"/>
    <w:rsid w:val="005A58B5"/>
    <w:rsid w:val="005A7C9F"/>
    <w:rsid w:val="005B0C05"/>
    <w:rsid w:val="005B1127"/>
    <w:rsid w:val="005B2489"/>
    <w:rsid w:val="005B3621"/>
    <w:rsid w:val="005B3DC6"/>
    <w:rsid w:val="005C2E04"/>
    <w:rsid w:val="005C4596"/>
    <w:rsid w:val="005C7B48"/>
    <w:rsid w:val="005D5265"/>
    <w:rsid w:val="005D5529"/>
    <w:rsid w:val="005D79F7"/>
    <w:rsid w:val="005E16DF"/>
    <w:rsid w:val="005E552D"/>
    <w:rsid w:val="005F13C3"/>
    <w:rsid w:val="005F2665"/>
    <w:rsid w:val="005F3D50"/>
    <w:rsid w:val="005F4046"/>
    <w:rsid w:val="005F5F05"/>
    <w:rsid w:val="005F601D"/>
    <w:rsid w:val="005F748A"/>
    <w:rsid w:val="005F7A86"/>
    <w:rsid w:val="00600CD5"/>
    <w:rsid w:val="00602573"/>
    <w:rsid w:val="00603850"/>
    <w:rsid w:val="00607870"/>
    <w:rsid w:val="00616DC0"/>
    <w:rsid w:val="0062180D"/>
    <w:rsid w:val="00622421"/>
    <w:rsid w:val="00623C5D"/>
    <w:rsid w:val="00626887"/>
    <w:rsid w:val="00627A1E"/>
    <w:rsid w:val="006329E2"/>
    <w:rsid w:val="00632B45"/>
    <w:rsid w:val="00633DE9"/>
    <w:rsid w:val="00637480"/>
    <w:rsid w:val="00640DB4"/>
    <w:rsid w:val="00640F7E"/>
    <w:rsid w:val="00642865"/>
    <w:rsid w:val="00645A36"/>
    <w:rsid w:val="00646D4B"/>
    <w:rsid w:val="00647DF5"/>
    <w:rsid w:val="00653FD3"/>
    <w:rsid w:val="00654775"/>
    <w:rsid w:val="006566A5"/>
    <w:rsid w:val="006567B6"/>
    <w:rsid w:val="006572EF"/>
    <w:rsid w:val="00661A1F"/>
    <w:rsid w:val="00664A82"/>
    <w:rsid w:val="00670ACE"/>
    <w:rsid w:val="00670C26"/>
    <w:rsid w:val="0067102A"/>
    <w:rsid w:val="006749A3"/>
    <w:rsid w:val="00676F1A"/>
    <w:rsid w:val="00682225"/>
    <w:rsid w:val="00683C6F"/>
    <w:rsid w:val="006844C8"/>
    <w:rsid w:val="0068695B"/>
    <w:rsid w:val="006922A7"/>
    <w:rsid w:val="006960B1"/>
    <w:rsid w:val="006A23C3"/>
    <w:rsid w:val="006A26FF"/>
    <w:rsid w:val="006A4190"/>
    <w:rsid w:val="006A63CC"/>
    <w:rsid w:val="006A6557"/>
    <w:rsid w:val="006B3621"/>
    <w:rsid w:val="006C7EC4"/>
    <w:rsid w:val="006D3C78"/>
    <w:rsid w:val="006D7718"/>
    <w:rsid w:val="006E3228"/>
    <w:rsid w:val="006E5A80"/>
    <w:rsid w:val="006F1C5C"/>
    <w:rsid w:val="006F5462"/>
    <w:rsid w:val="007002F0"/>
    <w:rsid w:val="00701E95"/>
    <w:rsid w:val="00702758"/>
    <w:rsid w:val="00704900"/>
    <w:rsid w:val="007049A6"/>
    <w:rsid w:val="00707821"/>
    <w:rsid w:val="0071655D"/>
    <w:rsid w:val="007174DB"/>
    <w:rsid w:val="00722B3D"/>
    <w:rsid w:val="00731250"/>
    <w:rsid w:val="00731995"/>
    <w:rsid w:val="00731DD8"/>
    <w:rsid w:val="007346F8"/>
    <w:rsid w:val="0074544D"/>
    <w:rsid w:val="0074555F"/>
    <w:rsid w:val="00746DEF"/>
    <w:rsid w:val="0075146A"/>
    <w:rsid w:val="00751B89"/>
    <w:rsid w:val="0076009E"/>
    <w:rsid w:val="00770F3E"/>
    <w:rsid w:val="007719F9"/>
    <w:rsid w:val="007723AD"/>
    <w:rsid w:val="00776C5D"/>
    <w:rsid w:val="0078094B"/>
    <w:rsid w:val="00783854"/>
    <w:rsid w:val="0078504F"/>
    <w:rsid w:val="0078525C"/>
    <w:rsid w:val="00790F1D"/>
    <w:rsid w:val="00791415"/>
    <w:rsid w:val="00795928"/>
    <w:rsid w:val="00795E3E"/>
    <w:rsid w:val="007A35C7"/>
    <w:rsid w:val="007A392D"/>
    <w:rsid w:val="007A7B09"/>
    <w:rsid w:val="007B0019"/>
    <w:rsid w:val="007C0337"/>
    <w:rsid w:val="007C1D16"/>
    <w:rsid w:val="007C2F95"/>
    <w:rsid w:val="007C31A4"/>
    <w:rsid w:val="007C374F"/>
    <w:rsid w:val="007D3403"/>
    <w:rsid w:val="007D53EB"/>
    <w:rsid w:val="007D66B1"/>
    <w:rsid w:val="007E0458"/>
    <w:rsid w:val="007E3A4C"/>
    <w:rsid w:val="007F49B7"/>
    <w:rsid w:val="00802F03"/>
    <w:rsid w:val="008075DE"/>
    <w:rsid w:val="00810323"/>
    <w:rsid w:val="00813CBD"/>
    <w:rsid w:val="00814FAC"/>
    <w:rsid w:val="00816FE7"/>
    <w:rsid w:val="0081764B"/>
    <w:rsid w:val="00817656"/>
    <w:rsid w:val="0082543B"/>
    <w:rsid w:val="0082613F"/>
    <w:rsid w:val="00830DE8"/>
    <w:rsid w:val="008315D8"/>
    <w:rsid w:val="00834F0D"/>
    <w:rsid w:val="008441D3"/>
    <w:rsid w:val="0084453D"/>
    <w:rsid w:val="00850CBD"/>
    <w:rsid w:val="00857F55"/>
    <w:rsid w:val="00861E5E"/>
    <w:rsid w:val="0086245E"/>
    <w:rsid w:val="00862EF2"/>
    <w:rsid w:val="00863276"/>
    <w:rsid w:val="008640E3"/>
    <w:rsid w:val="008643E8"/>
    <w:rsid w:val="008673DB"/>
    <w:rsid w:val="00871F47"/>
    <w:rsid w:val="008804ED"/>
    <w:rsid w:val="00881E05"/>
    <w:rsid w:val="00885A5D"/>
    <w:rsid w:val="00886682"/>
    <w:rsid w:val="00895B64"/>
    <w:rsid w:val="008A0794"/>
    <w:rsid w:val="008B1A9C"/>
    <w:rsid w:val="008B7A6A"/>
    <w:rsid w:val="008C47ED"/>
    <w:rsid w:val="008C49BD"/>
    <w:rsid w:val="008C5E99"/>
    <w:rsid w:val="008C61A2"/>
    <w:rsid w:val="008D07F7"/>
    <w:rsid w:val="008D2A3D"/>
    <w:rsid w:val="008D3D28"/>
    <w:rsid w:val="008D576F"/>
    <w:rsid w:val="008D6C5C"/>
    <w:rsid w:val="008E03E6"/>
    <w:rsid w:val="008E174F"/>
    <w:rsid w:val="008E3081"/>
    <w:rsid w:val="008E47F0"/>
    <w:rsid w:val="008E63FB"/>
    <w:rsid w:val="008E66E1"/>
    <w:rsid w:val="008F1439"/>
    <w:rsid w:val="009028C4"/>
    <w:rsid w:val="00903F32"/>
    <w:rsid w:val="009141AF"/>
    <w:rsid w:val="009158F3"/>
    <w:rsid w:val="00916BEE"/>
    <w:rsid w:val="00916D18"/>
    <w:rsid w:val="0091744E"/>
    <w:rsid w:val="00921DCB"/>
    <w:rsid w:val="009224E6"/>
    <w:rsid w:val="009230A2"/>
    <w:rsid w:val="00923F86"/>
    <w:rsid w:val="00926761"/>
    <w:rsid w:val="009303BD"/>
    <w:rsid w:val="0093200F"/>
    <w:rsid w:val="00932C05"/>
    <w:rsid w:val="00932DB5"/>
    <w:rsid w:val="00933308"/>
    <w:rsid w:val="0093350A"/>
    <w:rsid w:val="0093496A"/>
    <w:rsid w:val="0093580C"/>
    <w:rsid w:val="00935980"/>
    <w:rsid w:val="00937C54"/>
    <w:rsid w:val="009402F9"/>
    <w:rsid w:val="009437AA"/>
    <w:rsid w:val="00947BB0"/>
    <w:rsid w:val="00947EBA"/>
    <w:rsid w:val="0095097F"/>
    <w:rsid w:val="00956ABE"/>
    <w:rsid w:val="009602C2"/>
    <w:rsid w:val="009647BF"/>
    <w:rsid w:val="00964EAD"/>
    <w:rsid w:val="00965FBB"/>
    <w:rsid w:val="00970622"/>
    <w:rsid w:val="00972A19"/>
    <w:rsid w:val="009732C8"/>
    <w:rsid w:val="00976226"/>
    <w:rsid w:val="00977587"/>
    <w:rsid w:val="00977650"/>
    <w:rsid w:val="00980E70"/>
    <w:rsid w:val="00981526"/>
    <w:rsid w:val="00983CAC"/>
    <w:rsid w:val="009855E4"/>
    <w:rsid w:val="00986936"/>
    <w:rsid w:val="0098745B"/>
    <w:rsid w:val="009916EA"/>
    <w:rsid w:val="00991949"/>
    <w:rsid w:val="00991B3D"/>
    <w:rsid w:val="00992AEC"/>
    <w:rsid w:val="00993CE5"/>
    <w:rsid w:val="00996364"/>
    <w:rsid w:val="00996809"/>
    <w:rsid w:val="00997232"/>
    <w:rsid w:val="009B0157"/>
    <w:rsid w:val="009B01F5"/>
    <w:rsid w:val="009B0807"/>
    <w:rsid w:val="009B21F2"/>
    <w:rsid w:val="009B2E08"/>
    <w:rsid w:val="009C09B3"/>
    <w:rsid w:val="009C7CA5"/>
    <w:rsid w:val="009D2ED5"/>
    <w:rsid w:val="009D48DE"/>
    <w:rsid w:val="009D4BD1"/>
    <w:rsid w:val="009D5910"/>
    <w:rsid w:val="009D69A4"/>
    <w:rsid w:val="009D6CD1"/>
    <w:rsid w:val="009E4288"/>
    <w:rsid w:val="009F0BD2"/>
    <w:rsid w:val="009F0E14"/>
    <w:rsid w:val="009F2F46"/>
    <w:rsid w:val="009F57DE"/>
    <w:rsid w:val="00A00942"/>
    <w:rsid w:val="00A0692D"/>
    <w:rsid w:val="00A11543"/>
    <w:rsid w:val="00A1708B"/>
    <w:rsid w:val="00A216B0"/>
    <w:rsid w:val="00A21B63"/>
    <w:rsid w:val="00A22431"/>
    <w:rsid w:val="00A22841"/>
    <w:rsid w:val="00A2356E"/>
    <w:rsid w:val="00A23A43"/>
    <w:rsid w:val="00A23EBC"/>
    <w:rsid w:val="00A24DDE"/>
    <w:rsid w:val="00A272D7"/>
    <w:rsid w:val="00A2736F"/>
    <w:rsid w:val="00A35DC9"/>
    <w:rsid w:val="00A35FA5"/>
    <w:rsid w:val="00A37DB6"/>
    <w:rsid w:val="00A438A8"/>
    <w:rsid w:val="00A458BF"/>
    <w:rsid w:val="00A460FC"/>
    <w:rsid w:val="00A50F25"/>
    <w:rsid w:val="00A568CC"/>
    <w:rsid w:val="00A60528"/>
    <w:rsid w:val="00A6314B"/>
    <w:rsid w:val="00A63B8B"/>
    <w:rsid w:val="00A63CD2"/>
    <w:rsid w:val="00A676DB"/>
    <w:rsid w:val="00A70A47"/>
    <w:rsid w:val="00A77203"/>
    <w:rsid w:val="00A813CC"/>
    <w:rsid w:val="00A81470"/>
    <w:rsid w:val="00A814DD"/>
    <w:rsid w:val="00A84F06"/>
    <w:rsid w:val="00A87F26"/>
    <w:rsid w:val="00A90F0C"/>
    <w:rsid w:val="00A9137C"/>
    <w:rsid w:val="00A95361"/>
    <w:rsid w:val="00A964F2"/>
    <w:rsid w:val="00AA172A"/>
    <w:rsid w:val="00AA362F"/>
    <w:rsid w:val="00AA3B45"/>
    <w:rsid w:val="00AA41DD"/>
    <w:rsid w:val="00AA4EB1"/>
    <w:rsid w:val="00AB17B9"/>
    <w:rsid w:val="00AB27FE"/>
    <w:rsid w:val="00AB5B7E"/>
    <w:rsid w:val="00AB6376"/>
    <w:rsid w:val="00AB7637"/>
    <w:rsid w:val="00AC5CB5"/>
    <w:rsid w:val="00AC7A66"/>
    <w:rsid w:val="00AC7B6C"/>
    <w:rsid w:val="00AD1E6A"/>
    <w:rsid w:val="00AD26AD"/>
    <w:rsid w:val="00AD6938"/>
    <w:rsid w:val="00AE0765"/>
    <w:rsid w:val="00AE276B"/>
    <w:rsid w:val="00AE4054"/>
    <w:rsid w:val="00AE40B0"/>
    <w:rsid w:val="00AF016B"/>
    <w:rsid w:val="00AF2627"/>
    <w:rsid w:val="00AF356D"/>
    <w:rsid w:val="00AF5A2C"/>
    <w:rsid w:val="00AF737F"/>
    <w:rsid w:val="00B00CA7"/>
    <w:rsid w:val="00B0429F"/>
    <w:rsid w:val="00B06072"/>
    <w:rsid w:val="00B1115C"/>
    <w:rsid w:val="00B12621"/>
    <w:rsid w:val="00B129AF"/>
    <w:rsid w:val="00B137E5"/>
    <w:rsid w:val="00B14642"/>
    <w:rsid w:val="00B17C06"/>
    <w:rsid w:val="00B20A02"/>
    <w:rsid w:val="00B211DC"/>
    <w:rsid w:val="00B212C8"/>
    <w:rsid w:val="00B2177F"/>
    <w:rsid w:val="00B21F01"/>
    <w:rsid w:val="00B2686A"/>
    <w:rsid w:val="00B30444"/>
    <w:rsid w:val="00B32902"/>
    <w:rsid w:val="00B35577"/>
    <w:rsid w:val="00B42934"/>
    <w:rsid w:val="00B447B6"/>
    <w:rsid w:val="00B46D12"/>
    <w:rsid w:val="00B52B94"/>
    <w:rsid w:val="00B5301F"/>
    <w:rsid w:val="00B555E0"/>
    <w:rsid w:val="00B56EB8"/>
    <w:rsid w:val="00B611C4"/>
    <w:rsid w:val="00B6165C"/>
    <w:rsid w:val="00B84FD8"/>
    <w:rsid w:val="00B9091E"/>
    <w:rsid w:val="00B9691C"/>
    <w:rsid w:val="00B969A4"/>
    <w:rsid w:val="00B97208"/>
    <w:rsid w:val="00B9750B"/>
    <w:rsid w:val="00B97B19"/>
    <w:rsid w:val="00B97F78"/>
    <w:rsid w:val="00BA03E1"/>
    <w:rsid w:val="00BA23A8"/>
    <w:rsid w:val="00BA3053"/>
    <w:rsid w:val="00BA36A8"/>
    <w:rsid w:val="00BA41FA"/>
    <w:rsid w:val="00BA4E6B"/>
    <w:rsid w:val="00BA7F91"/>
    <w:rsid w:val="00BB050C"/>
    <w:rsid w:val="00BB072E"/>
    <w:rsid w:val="00BB0CE5"/>
    <w:rsid w:val="00BB1ED5"/>
    <w:rsid w:val="00BB39DD"/>
    <w:rsid w:val="00BB779C"/>
    <w:rsid w:val="00BC0378"/>
    <w:rsid w:val="00BC25A2"/>
    <w:rsid w:val="00BC4089"/>
    <w:rsid w:val="00BC5D97"/>
    <w:rsid w:val="00BD0882"/>
    <w:rsid w:val="00BD0D15"/>
    <w:rsid w:val="00BD112A"/>
    <w:rsid w:val="00BD3EBE"/>
    <w:rsid w:val="00BD50D1"/>
    <w:rsid w:val="00BD59A5"/>
    <w:rsid w:val="00BD5DB2"/>
    <w:rsid w:val="00BD670B"/>
    <w:rsid w:val="00BE27B0"/>
    <w:rsid w:val="00BE37A7"/>
    <w:rsid w:val="00BE570B"/>
    <w:rsid w:val="00BF00A7"/>
    <w:rsid w:val="00BF449E"/>
    <w:rsid w:val="00BF4909"/>
    <w:rsid w:val="00C02901"/>
    <w:rsid w:val="00C049CD"/>
    <w:rsid w:val="00C04D7A"/>
    <w:rsid w:val="00C07301"/>
    <w:rsid w:val="00C07719"/>
    <w:rsid w:val="00C114B6"/>
    <w:rsid w:val="00C132CD"/>
    <w:rsid w:val="00C17495"/>
    <w:rsid w:val="00C23EC2"/>
    <w:rsid w:val="00C24410"/>
    <w:rsid w:val="00C303D1"/>
    <w:rsid w:val="00C3374D"/>
    <w:rsid w:val="00C3746B"/>
    <w:rsid w:val="00C413AD"/>
    <w:rsid w:val="00C437BC"/>
    <w:rsid w:val="00C43F79"/>
    <w:rsid w:val="00C45B82"/>
    <w:rsid w:val="00C46B62"/>
    <w:rsid w:val="00C5485A"/>
    <w:rsid w:val="00C6190A"/>
    <w:rsid w:val="00C624B0"/>
    <w:rsid w:val="00C62839"/>
    <w:rsid w:val="00C63D91"/>
    <w:rsid w:val="00C64352"/>
    <w:rsid w:val="00C6724F"/>
    <w:rsid w:val="00C7098C"/>
    <w:rsid w:val="00C73234"/>
    <w:rsid w:val="00C73F85"/>
    <w:rsid w:val="00C769CF"/>
    <w:rsid w:val="00C76E23"/>
    <w:rsid w:val="00C776A3"/>
    <w:rsid w:val="00C8707D"/>
    <w:rsid w:val="00C926FE"/>
    <w:rsid w:val="00C95EB8"/>
    <w:rsid w:val="00C96A00"/>
    <w:rsid w:val="00C96B28"/>
    <w:rsid w:val="00C97F36"/>
    <w:rsid w:val="00CA459B"/>
    <w:rsid w:val="00CA4B63"/>
    <w:rsid w:val="00CB0C6A"/>
    <w:rsid w:val="00CB174C"/>
    <w:rsid w:val="00CB1A15"/>
    <w:rsid w:val="00CB224C"/>
    <w:rsid w:val="00CB31BE"/>
    <w:rsid w:val="00CB616C"/>
    <w:rsid w:val="00CC028D"/>
    <w:rsid w:val="00CC3349"/>
    <w:rsid w:val="00CC58ED"/>
    <w:rsid w:val="00CC6F96"/>
    <w:rsid w:val="00CD2692"/>
    <w:rsid w:val="00CD2C2C"/>
    <w:rsid w:val="00CD2D0D"/>
    <w:rsid w:val="00CD2EFD"/>
    <w:rsid w:val="00CD457D"/>
    <w:rsid w:val="00CD5DFC"/>
    <w:rsid w:val="00CE5167"/>
    <w:rsid w:val="00CE59D7"/>
    <w:rsid w:val="00CE6374"/>
    <w:rsid w:val="00CF10B1"/>
    <w:rsid w:val="00CF3098"/>
    <w:rsid w:val="00D00720"/>
    <w:rsid w:val="00D02531"/>
    <w:rsid w:val="00D20747"/>
    <w:rsid w:val="00D221E9"/>
    <w:rsid w:val="00D234FA"/>
    <w:rsid w:val="00D25CE2"/>
    <w:rsid w:val="00D30EC3"/>
    <w:rsid w:val="00D31C00"/>
    <w:rsid w:val="00D330A0"/>
    <w:rsid w:val="00D343C5"/>
    <w:rsid w:val="00D36CC6"/>
    <w:rsid w:val="00D36EC6"/>
    <w:rsid w:val="00D40534"/>
    <w:rsid w:val="00D40811"/>
    <w:rsid w:val="00D40ADC"/>
    <w:rsid w:val="00D40DEF"/>
    <w:rsid w:val="00D4142D"/>
    <w:rsid w:val="00D41BCC"/>
    <w:rsid w:val="00D446FC"/>
    <w:rsid w:val="00D4513E"/>
    <w:rsid w:val="00D57337"/>
    <w:rsid w:val="00D61FBC"/>
    <w:rsid w:val="00D62938"/>
    <w:rsid w:val="00D62C61"/>
    <w:rsid w:val="00D65053"/>
    <w:rsid w:val="00D654B5"/>
    <w:rsid w:val="00D65D47"/>
    <w:rsid w:val="00D667A7"/>
    <w:rsid w:val="00D66E18"/>
    <w:rsid w:val="00D67663"/>
    <w:rsid w:val="00D702A6"/>
    <w:rsid w:val="00D71FA3"/>
    <w:rsid w:val="00D767E2"/>
    <w:rsid w:val="00D844B9"/>
    <w:rsid w:val="00D91BF6"/>
    <w:rsid w:val="00D95CB5"/>
    <w:rsid w:val="00D960E2"/>
    <w:rsid w:val="00D96C3F"/>
    <w:rsid w:val="00DA0422"/>
    <w:rsid w:val="00DA22FC"/>
    <w:rsid w:val="00DA3A0A"/>
    <w:rsid w:val="00DA4B86"/>
    <w:rsid w:val="00DA7219"/>
    <w:rsid w:val="00DB03EE"/>
    <w:rsid w:val="00DB3CE7"/>
    <w:rsid w:val="00DC610F"/>
    <w:rsid w:val="00DD119F"/>
    <w:rsid w:val="00DD58C4"/>
    <w:rsid w:val="00DE08CE"/>
    <w:rsid w:val="00DE20D5"/>
    <w:rsid w:val="00DE321D"/>
    <w:rsid w:val="00DE46EB"/>
    <w:rsid w:val="00DE5D3D"/>
    <w:rsid w:val="00DE7476"/>
    <w:rsid w:val="00DE794C"/>
    <w:rsid w:val="00DF054E"/>
    <w:rsid w:val="00DF1AF6"/>
    <w:rsid w:val="00DF4841"/>
    <w:rsid w:val="00E0281F"/>
    <w:rsid w:val="00E056A6"/>
    <w:rsid w:val="00E07E89"/>
    <w:rsid w:val="00E07E96"/>
    <w:rsid w:val="00E1083D"/>
    <w:rsid w:val="00E1165D"/>
    <w:rsid w:val="00E12B53"/>
    <w:rsid w:val="00E15C9F"/>
    <w:rsid w:val="00E1603A"/>
    <w:rsid w:val="00E1665B"/>
    <w:rsid w:val="00E20BC6"/>
    <w:rsid w:val="00E21760"/>
    <w:rsid w:val="00E2319D"/>
    <w:rsid w:val="00E2486B"/>
    <w:rsid w:val="00E261A4"/>
    <w:rsid w:val="00E26901"/>
    <w:rsid w:val="00E273C0"/>
    <w:rsid w:val="00E34096"/>
    <w:rsid w:val="00E35DE2"/>
    <w:rsid w:val="00E361B4"/>
    <w:rsid w:val="00E426B3"/>
    <w:rsid w:val="00E43F62"/>
    <w:rsid w:val="00E45934"/>
    <w:rsid w:val="00E47E2D"/>
    <w:rsid w:val="00E51BD1"/>
    <w:rsid w:val="00E5327F"/>
    <w:rsid w:val="00E536E6"/>
    <w:rsid w:val="00E57379"/>
    <w:rsid w:val="00E6458E"/>
    <w:rsid w:val="00E66B43"/>
    <w:rsid w:val="00E73245"/>
    <w:rsid w:val="00E754F9"/>
    <w:rsid w:val="00E818C4"/>
    <w:rsid w:val="00E81DBB"/>
    <w:rsid w:val="00E82810"/>
    <w:rsid w:val="00E84E8E"/>
    <w:rsid w:val="00E91995"/>
    <w:rsid w:val="00E93ABF"/>
    <w:rsid w:val="00E97163"/>
    <w:rsid w:val="00E9731E"/>
    <w:rsid w:val="00EA1166"/>
    <w:rsid w:val="00EA438B"/>
    <w:rsid w:val="00EA4824"/>
    <w:rsid w:val="00EA6BBD"/>
    <w:rsid w:val="00EB126B"/>
    <w:rsid w:val="00EB2F8A"/>
    <w:rsid w:val="00EB3191"/>
    <w:rsid w:val="00EB377F"/>
    <w:rsid w:val="00EB40E1"/>
    <w:rsid w:val="00EB4E2F"/>
    <w:rsid w:val="00EB6182"/>
    <w:rsid w:val="00EB62CE"/>
    <w:rsid w:val="00EC0500"/>
    <w:rsid w:val="00EC130C"/>
    <w:rsid w:val="00EC2BCA"/>
    <w:rsid w:val="00EC47E6"/>
    <w:rsid w:val="00EC4E74"/>
    <w:rsid w:val="00EC5624"/>
    <w:rsid w:val="00EC6CD0"/>
    <w:rsid w:val="00ED0F35"/>
    <w:rsid w:val="00ED13E1"/>
    <w:rsid w:val="00ED179F"/>
    <w:rsid w:val="00ED5900"/>
    <w:rsid w:val="00ED7E1B"/>
    <w:rsid w:val="00EE0DF4"/>
    <w:rsid w:val="00EE25CB"/>
    <w:rsid w:val="00EE2763"/>
    <w:rsid w:val="00EE68E0"/>
    <w:rsid w:val="00EF583E"/>
    <w:rsid w:val="00F00CE0"/>
    <w:rsid w:val="00F012FA"/>
    <w:rsid w:val="00F03CAB"/>
    <w:rsid w:val="00F04BAF"/>
    <w:rsid w:val="00F0667F"/>
    <w:rsid w:val="00F06900"/>
    <w:rsid w:val="00F07102"/>
    <w:rsid w:val="00F072C2"/>
    <w:rsid w:val="00F11073"/>
    <w:rsid w:val="00F14B5A"/>
    <w:rsid w:val="00F1526F"/>
    <w:rsid w:val="00F17D9E"/>
    <w:rsid w:val="00F2200C"/>
    <w:rsid w:val="00F225E5"/>
    <w:rsid w:val="00F23CE2"/>
    <w:rsid w:val="00F27741"/>
    <w:rsid w:val="00F40526"/>
    <w:rsid w:val="00F506DE"/>
    <w:rsid w:val="00F53E68"/>
    <w:rsid w:val="00F55430"/>
    <w:rsid w:val="00F60616"/>
    <w:rsid w:val="00F60632"/>
    <w:rsid w:val="00F6080E"/>
    <w:rsid w:val="00F60A71"/>
    <w:rsid w:val="00F6716E"/>
    <w:rsid w:val="00F71EA4"/>
    <w:rsid w:val="00F77D95"/>
    <w:rsid w:val="00F77F66"/>
    <w:rsid w:val="00F81CDF"/>
    <w:rsid w:val="00F82B9F"/>
    <w:rsid w:val="00F831D1"/>
    <w:rsid w:val="00F83321"/>
    <w:rsid w:val="00F8377A"/>
    <w:rsid w:val="00F85FD7"/>
    <w:rsid w:val="00F86165"/>
    <w:rsid w:val="00F863A9"/>
    <w:rsid w:val="00F87A66"/>
    <w:rsid w:val="00F91D71"/>
    <w:rsid w:val="00F97334"/>
    <w:rsid w:val="00FA1714"/>
    <w:rsid w:val="00FA1B98"/>
    <w:rsid w:val="00FA42F7"/>
    <w:rsid w:val="00FA5741"/>
    <w:rsid w:val="00FB1CE9"/>
    <w:rsid w:val="00FB3AAD"/>
    <w:rsid w:val="00FB579B"/>
    <w:rsid w:val="00FC2BD0"/>
    <w:rsid w:val="00FC34BF"/>
    <w:rsid w:val="00FC35A8"/>
    <w:rsid w:val="00FC5774"/>
    <w:rsid w:val="00FD0427"/>
    <w:rsid w:val="00FD0FD0"/>
    <w:rsid w:val="00FD3F87"/>
    <w:rsid w:val="00FD5F26"/>
    <w:rsid w:val="00FE3080"/>
    <w:rsid w:val="00FE3BEB"/>
    <w:rsid w:val="00FE44A8"/>
    <w:rsid w:val="00FE73A3"/>
    <w:rsid w:val="00FF2DB8"/>
    <w:rsid w:val="00FF4C23"/>
    <w:rsid w:val="00FF4E89"/>
    <w:rsid w:val="00FF4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rPr>
  </w:style>
  <w:style w:type="paragraph" w:styleId="Heading2">
    <w:name w:val="heading 2"/>
    <w:basedOn w:val="Normal"/>
    <w:next w:val="Normal"/>
    <w:qFormat/>
    <w:pPr>
      <w:keepNext/>
      <w:spacing w:line="480" w:lineRule="auto"/>
      <w:outlineLvl w:val="1"/>
    </w:pPr>
  </w:style>
  <w:style w:type="paragraph" w:styleId="Heading3">
    <w:name w:val="heading 3"/>
    <w:basedOn w:val="Normal"/>
    <w:next w:val="Normal"/>
    <w:link w:val="Heading3Char"/>
    <w:semiHidden/>
    <w:unhideWhenUsed/>
    <w:qFormat/>
    <w:rsid w:val="00FA5741"/>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120" w:line="480" w:lineRule="auto"/>
      <w:jc w:val="center"/>
      <w:outlineLvl w:val="3"/>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rPr>
  </w:style>
  <w:style w:type="paragraph" w:styleId="BodyTextIndent">
    <w:name w:val="Body Text Indent"/>
    <w:basedOn w:val="Normal"/>
    <w:link w:val="BodyTextIndentChar"/>
    <w:pPr>
      <w:spacing w:line="480" w:lineRule="auto"/>
      <w:ind w:left="720" w:hanging="72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spacing w:line="480" w:lineRule="auto"/>
      <w:ind w:left="720"/>
    </w:pPr>
  </w:style>
  <w:style w:type="paragraph" w:styleId="BodyText2">
    <w:name w:val="Body Text 2"/>
    <w:basedOn w:val="Normal"/>
    <w:pPr>
      <w:spacing w:line="480" w:lineRule="auto"/>
    </w:pPr>
    <w:rPr>
      <w:rFonts w:ascii="Courier New" w:hAnsi="Courier New"/>
    </w:rPr>
  </w:style>
  <w:style w:type="paragraph" w:styleId="Header">
    <w:name w:val="header"/>
    <w:basedOn w:val="Normal"/>
    <w:link w:val="HeaderChar"/>
    <w:uiPriority w:val="99"/>
    <w:pPr>
      <w:tabs>
        <w:tab w:val="center" w:pos="4320"/>
        <w:tab w:val="right" w:pos="8640"/>
      </w:tabs>
    </w:pPr>
  </w:style>
  <w:style w:type="character" w:styleId="LineNumber">
    <w:name w:val="line number"/>
    <w:basedOn w:val="DefaultParagraphFont"/>
  </w:style>
  <w:style w:type="paragraph" w:styleId="BlockText">
    <w:name w:val="Block Text"/>
    <w:basedOn w:val="Normal"/>
    <w:pPr>
      <w:ind w:left="1440" w:right="1440"/>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spacing w:line="480" w:lineRule="auto"/>
      <w:ind w:left="720" w:firstLine="720"/>
    </w:pPr>
  </w:style>
  <w:style w:type="paragraph" w:styleId="BalloonText">
    <w:name w:val="Balloon Text"/>
    <w:basedOn w:val="Normal"/>
    <w:semiHidden/>
    <w:rsid w:val="00F6080E"/>
    <w:rPr>
      <w:rFonts w:ascii="Tahoma" w:hAnsi="Tahoma" w:cs="Tahoma"/>
      <w:sz w:val="16"/>
      <w:szCs w:val="16"/>
    </w:rPr>
  </w:style>
  <w:style w:type="table" w:styleId="TableGrid">
    <w:name w:val="Table Grid"/>
    <w:basedOn w:val="TableNormal"/>
    <w:rsid w:val="00862E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link w:val="BodyTextIndent"/>
    <w:rsid w:val="00A87F26"/>
    <w:rPr>
      <w:sz w:val="24"/>
    </w:rPr>
  </w:style>
  <w:style w:type="character" w:customStyle="1" w:styleId="HeaderChar">
    <w:name w:val="Header Char"/>
    <w:link w:val="Header"/>
    <w:uiPriority w:val="99"/>
    <w:rsid w:val="00380031"/>
    <w:rPr>
      <w:sz w:val="24"/>
    </w:rPr>
  </w:style>
  <w:style w:type="character" w:customStyle="1" w:styleId="Heading3Char">
    <w:name w:val="Heading 3 Char"/>
    <w:link w:val="Heading3"/>
    <w:semiHidden/>
    <w:rsid w:val="00FA5741"/>
    <w:rPr>
      <w:rFonts w:ascii="Cambria" w:eastAsia="Times New Roman" w:hAnsi="Cambria" w:cs="Times New Roman"/>
      <w:b/>
      <w:bCs/>
      <w:sz w:val="26"/>
      <w:szCs w:val="26"/>
    </w:rPr>
  </w:style>
  <w:style w:type="character" w:customStyle="1" w:styleId="FooterChar">
    <w:name w:val="Footer Char"/>
    <w:link w:val="Footer"/>
    <w:uiPriority w:val="99"/>
    <w:rsid w:val="009732C8"/>
    <w:rPr>
      <w:sz w:val="24"/>
    </w:rPr>
  </w:style>
  <w:style w:type="character" w:styleId="CommentReference">
    <w:name w:val="annotation reference"/>
    <w:rsid w:val="006960B1"/>
    <w:rPr>
      <w:sz w:val="16"/>
      <w:szCs w:val="16"/>
    </w:rPr>
  </w:style>
  <w:style w:type="paragraph" w:styleId="CommentText">
    <w:name w:val="annotation text"/>
    <w:basedOn w:val="Normal"/>
    <w:link w:val="CommentTextChar"/>
    <w:rsid w:val="006960B1"/>
    <w:rPr>
      <w:sz w:val="20"/>
    </w:rPr>
  </w:style>
  <w:style w:type="character" w:customStyle="1" w:styleId="CommentTextChar">
    <w:name w:val="Comment Text Char"/>
    <w:basedOn w:val="DefaultParagraphFont"/>
    <w:link w:val="CommentText"/>
    <w:rsid w:val="006960B1"/>
  </w:style>
  <w:style w:type="paragraph" w:styleId="CommentSubject">
    <w:name w:val="annotation subject"/>
    <w:basedOn w:val="CommentText"/>
    <w:next w:val="CommentText"/>
    <w:link w:val="CommentSubjectChar"/>
    <w:rsid w:val="006960B1"/>
    <w:rPr>
      <w:b/>
      <w:bCs/>
    </w:rPr>
  </w:style>
  <w:style w:type="character" w:customStyle="1" w:styleId="CommentSubjectChar">
    <w:name w:val="Comment Subject Char"/>
    <w:link w:val="CommentSubject"/>
    <w:rsid w:val="006960B1"/>
    <w:rPr>
      <w:b/>
      <w:bCs/>
    </w:rPr>
  </w:style>
  <w:style w:type="paragraph" w:customStyle="1" w:styleId="SingleSpacing">
    <w:name w:val="Single Spacing"/>
    <w:basedOn w:val="Normal"/>
    <w:rsid w:val="000B72E3"/>
    <w:pPr>
      <w:spacing w:line="360" w:lineRule="auto"/>
    </w:pPr>
    <w:rPr>
      <w:rFonts w:ascii="Book Antiqua" w:hAnsi="Book Antiqua" w:cs="Arial"/>
      <w:szCs w:val="24"/>
    </w:rPr>
  </w:style>
  <w:style w:type="paragraph" w:customStyle="1" w:styleId="Question">
    <w:name w:val="Question"/>
    <w:basedOn w:val="Normal"/>
    <w:rsid w:val="000B72E3"/>
    <w:pPr>
      <w:numPr>
        <w:numId w:val="1"/>
      </w:numPr>
      <w:tabs>
        <w:tab w:val="decimal" w:pos="720"/>
      </w:tabs>
      <w:spacing w:line="360" w:lineRule="auto"/>
      <w:jc w:val="both"/>
    </w:pPr>
    <w:rPr>
      <w:rFonts w:ascii="Times New Roman Bold" w:hAnsi="Times New Roman Bold" w:cs="Arial"/>
      <w:b/>
      <w:caps/>
      <w:szCs w:val="24"/>
    </w:rPr>
  </w:style>
  <w:style w:type="paragraph" w:customStyle="1" w:styleId="Answer">
    <w:name w:val="Answer"/>
    <w:link w:val="AnswerChar"/>
    <w:rsid w:val="000B72E3"/>
    <w:pPr>
      <w:numPr>
        <w:numId w:val="2"/>
      </w:numPr>
      <w:spacing w:line="360" w:lineRule="auto"/>
      <w:jc w:val="both"/>
    </w:pPr>
    <w:rPr>
      <w:rFonts w:cs="Arial"/>
      <w:sz w:val="24"/>
      <w:szCs w:val="24"/>
    </w:rPr>
  </w:style>
  <w:style w:type="character" w:customStyle="1" w:styleId="AnswerChar">
    <w:name w:val="Answer Char"/>
    <w:link w:val="Answer"/>
    <w:rsid w:val="000B72E3"/>
    <w:rPr>
      <w:rFonts w:cs="Arial"/>
      <w:sz w:val="24"/>
      <w:szCs w:val="24"/>
    </w:rPr>
  </w:style>
  <w:style w:type="paragraph" w:customStyle="1" w:styleId="Answersub">
    <w:name w:val="Answer sub"/>
    <w:basedOn w:val="Answer"/>
    <w:rsid w:val="009028C4"/>
    <w:pPr>
      <w:numPr>
        <w:numId w:val="4"/>
      </w:numPr>
      <w:tabs>
        <w:tab w:val="clear" w:pos="360"/>
      </w:tabs>
      <w:ind w:left="720" w:hanging="720"/>
    </w:pPr>
  </w:style>
  <w:style w:type="paragraph" w:styleId="ListParagraph">
    <w:name w:val="List Paragraph"/>
    <w:basedOn w:val="Normal"/>
    <w:uiPriority w:val="34"/>
    <w:qFormat/>
    <w:rsid w:val="002445F6"/>
    <w:pPr>
      <w:spacing w:after="160" w:line="259" w:lineRule="auto"/>
      <w:ind w:left="720"/>
      <w:contextualSpacing/>
    </w:pPr>
    <w:rPr>
      <w:rFonts w:ascii="Calibri" w:eastAsia="Calibri" w:hAnsi="Calibri"/>
      <w:sz w:val="22"/>
      <w:szCs w:val="22"/>
    </w:rPr>
  </w:style>
  <w:style w:type="paragraph" w:styleId="Revision">
    <w:name w:val="Revision"/>
    <w:hidden/>
    <w:uiPriority w:val="99"/>
    <w:semiHidden/>
    <w:rsid w:val="006A63CC"/>
    <w:rPr>
      <w:sz w:val="24"/>
    </w:rPr>
  </w:style>
  <w:style w:type="paragraph" w:customStyle="1" w:styleId="Default">
    <w:name w:val="Default"/>
    <w:rsid w:val="00603850"/>
    <w:pPr>
      <w:autoSpaceDE w:val="0"/>
      <w:autoSpaceDN w:val="0"/>
      <w:adjustRightInd w:val="0"/>
    </w:pPr>
    <w:rPr>
      <w:rFonts w:ascii="Avenir LT Std 65 Medium" w:hAnsi="Avenir LT Std 65 Medium" w:cs="Avenir LT Std 65 Medium"/>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137184">
      <w:bodyDiv w:val="1"/>
      <w:marLeft w:val="0"/>
      <w:marRight w:val="0"/>
      <w:marTop w:val="0"/>
      <w:marBottom w:val="0"/>
      <w:divBdr>
        <w:top w:val="none" w:sz="0" w:space="0" w:color="auto"/>
        <w:left w:val="none" w:sz="0" w:space="0" w:color="auto"/>
        <w:bottom w:val="none" w:sz="0" w:space="0" w:color="auto"/>
        <w:right w:val="none" w:sz="0" w:space="0" w:color="auto"/>
      </w:divBdr>
    </w:div>
    <w:div w:id="1198280100">
      <w:bodyDiv w:val="1"/>
      <w:marLeft w:val="0"/>
      <w:marRight w:val="0"/>
      <w:marTop w:val="0"/>
      <w:marBottom w:val="0"/>
      <w:divBdr>
        <w:top w:val="none" w:sz="0" w:space="0" w:color="auto"/>
        <w:left w:val="none" w:sz="0" w:space="0" w:color="auto"/>
        <w:bottom w:val="none" w:sz="0" w:space="0" w:color="auto"/>
        <w:right w:val="none" w:sz="0" w:space="0" w:color="auto"/>
      </w:divBdr>
    </w:div>
    <w:div w:id="1770462983">
      <w:bodyDiv w:val="1"/>
      <w:marLeft w:val="0"/>
      <w:marRight w:val="0"/>
      <w:marTop w:val="0"/>
      <w:marBottom w:val="0"/>
      <w:divBdr>
        <w:top w:val="none" w:sz="0" w:space="0" w:color="auto"/>
        <w:left w:val="none" w:sz="0" w:space="0" w:color="auto"/>
        <w:bottom w:val="none" w:sz="0" w:space="0" w:color="auto"/>
        <w:right w:val="none" w:sz="0" w:space="0" w:color="auto"/>
      </w:divBdr>
    </w:div>
    <w:div w:id="1970629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Owner\Documents\Consulting%20Projects\Georgia%20Power\working_MDS_17%20w_%201%20Ph-3%20Ph%20Adj%20364regress_22MAY19.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450" b="1" i="0" u="none" strike="noStrike" baseline="0">
                <a:solidFill>
                  <a:srgbClr val="000000"/>
                </a:solidFill>
                <a:latin typeface="Arial"/>
                <a:ea typeface="Arial"/>
                <a:cs typeface="Arial"/>
              </a:defRPr>
            </a:pPr>
            <a:r>
              <a:rPr lang="en-US"/>
              <a:t>Single-Phase Overhead Transformers </a:t>
            </a:r>
          </a:p>
        </c:rich>
      </c:tx>
      <c:layout>
        <c:manualLayout>
          <c:xMode val="edge"/>
          <c:yMode val="edge"/>
          <c:x val="0.21275671310316979"/>
          <c:y val="7.2886297376093298E-2"/>
        </c:manualLayout>
      </c:layout>
      <c:overlay val="0"/>
      <c:spPr>
        <a:noFill/>
        <a:ln w="25400">
          <a:noFill/>
        </a:ln>
      </c:spPr>
    </c:title>
    <c:autoTitleDeleted val="0"/>
    <c:plotArea>
      <c:layout>
        <c:manualLayout>
          <c:layoutTarget val="inner"/>
          <c:xMode val="edge"/>
          <c:yMode val="edge"/>
          <c:x val="0.18879668049792531"/>
          <c:y val="0.26822195617420419"/>
          <c:w val="0.75311203319502074"/>
          <c:h val="0.51895117607617769"/>
        </c:manualLayout>
      </c:layout>
      <c:scatterChart>
        <c:scatterStyle val="lineMarker"/>
        <c:varyColors val="0"/>
        <c:ser>
          <c:idx val="0"/>
          <c:order val="0"/>
          <c:tx>
            <c:strRef>
              <c:f>PwrDeliv!$C$152</c:f>
              <c:strCache>
                <c:ptCount val="1"/>
                <c:pt idx="0">
                  <c:v>Account 368--Single-Phase Overhead Transformers &lt;= 100 KVA</c:v>
                </c:pt>
              </c:strCache>
            </c:strRef>
          </c:tx>
          <c:spPr>
            <a:ln w="28575">
              <a:noFill/>
            </a:ln>
          </c:spPr>
          <c:marker>
            <c:symbol val="diamond"/>
            <c:size val="9"/>
            <c:spPr>
              <a:solidFill>
                <a:schemeClr val="tx1"/>
              </a:solidFill>
              <a:ln>
                <a:solidFill>
                  <a:srgbClr val="000080"/>
                </a:solidFill>
                <a:prstDash val="solid"/>
              </a:ln>
            </c:spPr>
          </c:marker>
          <c:trendline>
            <c:spPr>
              <a:ln w="25400">
                <a:solidFill>
                  <a:schemeClr val="tx1"/>
                </a:solidFill>
                <a:prstDash val="solid"/>
              </a:ln>
            </c:spPr>
            <c:trendlineType val="linear"/>
            <c:backward val="15"/>
            <c:dispRSqr val="1"/>
            <c:dispEq val="1"/>
            <c:trendlineLbl>
              <c:layout>
                <c:manualLayout>
                  <c:x val="-0.29650438695163106"/>
                  <c:y val="-1.0714660667416573E-2"/>
                </c:manualLayout>
              </c:layout>
              <c:numFmt formatCode="General" sourceLinked="0"/>
              <c:spPr>
                <a:noFill/>
                <a:ln w="25400">
                  <a:noFill/>
                </a:ln>
              </c:spPr>
              <c:txPr>
                <a:bodyPr/>
                <a:lstStyle/>
                <a:p>
                  <a:pPr>
                    <a:defRPr sz="1050" b="0" i="0" u="none" strike="noStrike" baseline="0">
                      <a:solidFill>
                        <a:srgbClr val="000000"/>
                      </a:solidFill>
                      <a:latin typeface="Arial"/>
                      <a:ea typeface="Arial"/>
                      <a:cs typeface="Arial"/>
                    </a:defRPr>
                  </a:pPr>
                  <a:endParaRPr lang="en-US"/>
                </a:p>
              </c:txPr>
            </c:trendlineLbl>
          </c:trendline>
          <c:xVal>
            <c:numRef>
              <c:f>PwrDeliv!$D$115:$D$120</c:f>
              <c:numCache>
                <c:formatCode>#,##0_);\(#,##0\)</c:formatCode>
                <c:ptCount val="6"/>
                <c:pt idx="0">
                  <c:v>15</c:v>
                </c:pt>
                <c:pt idx="1">
                  <c:v>25</c:v>
                </c:pt>
                <c:pt idx="2" formatCode="#,##0.0_);\(#,##0.0\)">
                  <c:v>37.5</c:v>
                </c:pt>
                <c:pt idx="3">
                  <c:v>50</c:v>
                </c:pt>
                <c:pt idx="4">
                  <c:v>75</c:v>
                </c:pt>
                <c:pt idx="5">
                  <c:v>100</c:v>
                </c:pt>
              </c:numCache>
            </c:numRef>
          </c:xVal>
          <c:yVal>
            <c:numRef>
              <c:f>PwrDeliv!$E$115:$E$120</c:f>
              <c:numCache>
                <c:formatCode>#,##0_);\(#,##0\)</c:formatCode>
                <c:ptCount val="6"/>
                <c:pt idx="0">
                  <c:v>1381</c:v>
                </c:pt>
                <c:pt idx="1">
                  <c:v>1730</c:v>
                </c:pt>
                <c:pt idx="2">
                  <c:v>2244</c:v>
                </c:pt>
                <c:pt idx="3">
                  <c:v>2643</c:v>
                </c:pt>
                <c:pt idx="4">
                  <c:v>3521</c:v>
                </c:pt>
                <c:pt idx="5">
                  <c:v>5123</c:v>
                </c:pt>
              </c:numCache>
            </c:numRef>
          </c:yVal>
          <c:smooth val="0"/>
          <c:extLst>
            <c:ext xmlns:c16="http://schemas.microsoft.com/office/drawing/2014/chart" uri="{C3380CC4-5D6E-409C-BE32-E72D297353CC}">
              <c16:uniqueId val="{00000001-3656-4684-8662-662954A58633}"/>
            </c:ext>
          </c:extLst>
        </c:ser>
        <c:dLbls>
          <c:showLegendKey val="0"/>
          <c:showVal val="0"/>
          <c:showCatName val="0"/>
          <c:showSerName val="0"/>
          <c:showPercent val="0"/>
          <c:showBubbleSize val="0"/>
        </c:dLbls>
        <c:axId val="394009376"/>
        <c:axId val="1"/>
      </c:scatterChart>
      <c:valAx>
        <c:axId val="394009376"/>
        <c:scaling>
          <c:orientation val="minMax"/>
          <c:max val="100"/>
        </c:scaling>
        <c:delete val="0"/>
        <c:axPos val="b"/>
        <c:title>
          <c:tx>
            <c:rich>
              <a:bodyPr/>
              <a:lstStyle/>
              <a:p>
                <a:pPr>
                  <a:defRPr sz="1200" b="1" i="0" u="none" strike="noStrike" baseline="0">
                    <a:solidFill>
                      <a:srgbClr val="000000"/>
                    </a:solidFill>
                    <a:latin typeface="Arial"/>
                    <a:ea typeface="Arial"/>
                    <a:cs typeface="Arial"/>
                  </a:defRPr>
                </a:pPr>
                <a:r>
                  <a:rPr lang="en-US" b="1"/>
                  <a:t>KVA</a:t>
                </a:r>
              </a:p>
            </c:rich>
          </c:tx>
          <c:layout>
            <c:manualLayout>
              <c:xMode val="edge"/>
              <c:yMode val="edge"/>
              <c:x val="0.52489651614061061"/>
              <c:y val="0.87755193866072856"/>
            </c:manualLayout>
          </c:layout>
          <c:overlay val="0"/>
          <c:spPr>
            <a:noFill/>
            <a:ln w="25400">
              <a:noFill/>
            </a:ln>
          </c:spPr>
        </c:title>
        <c:numFmt formatCode="#,##0_);\(#,##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1"/>
        <c:crosses val="autoZero"/>
        <c:crossBetween val="midCat"/>
      </c:valAx>
      <c:valAx>
        <c:axId val="1"/>
        <c:scaling>
          <c:orientation val="minMax"/>
        </c:scaling>
        <c:delete val="0"/>
        <c:axPos val="l"/>
        <c:majorGridlines>
          <c:spPr>
            <a:ln w="3175">
              <a:solidFill>
                <a:srgbClr val="000000"/>
              </a:solidFill>
              <a:prstDash val="solid"/>
            </a:ln>
          </c:spPr>
        </c:majorGridlines>
        <c:title>
          <c:tx>
            <c:rich>
              <a:bodyPr/>
              <a:lstStyle/>
              <a:p>
                <a:pPr>
                  <a:defRPr sz="1200" b="1" i="0" u="none" strike="noStrike" baseline="0">
                    <a:solidFill>
                      <a:srgbClr val="000000"/>
                    </a:solidFill>
                    <a:latin typeface="Arial"/>
                    <a:ea typeface="Arial"/>
                    <a:cs typeface="Arial"/>
                  </a:defRPr>
                </a:pPr>
                <a:r>
                  <a:rPr lang="en-US" b="1"/>
                  <a:t>$ / unit</a:t>
                </a:r>
              </a:p>
            </c:rich>
          </c:tx>
          <c:layout>
            <c:manualLayout>
              <c:xMode val="edge"/>
              <c:yMode val="edge"/>
              <c:x val="3.5269668214550104E-2"/>
              <c:y val="0.45481141387938756"/>
            </c:manualLayout>
          </c:layout>
          <c:overlay val="0"/>
          <c:spPr>
            <a:noFill/>
            <a:ln w="25400">
              <a:noFill/>
            </a:ln>
          </c:spPr>
        </c:title>
        <c:numFmt formatCode="#,##0_);\(#,##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a:ea typeface="Arial"/>
                <a:cs typeface="Arial"/>
              </a:defRPr>
            </a:pPr>
            <a:endParaRPr lang="en-US"/>
          </a:p>
        </c:txPr>
        <c:crossAx val="394009376"/>
        <c:crosses val="autoZero"/>
        <c:crossBetween val="midCat"/>
      </c:valAx>
      <c:spPr>
        <a:no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9859</Words>
  <Characters>56198</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2019-06-26T14:09:00Z</dcterms:created>
  <dcterms:modified xsi:type="dcterms:W3CDTF">2019-06-26T14:23:00Z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